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6CF4" w14:textId="77777777" w:rsidR="004552BC" w:rsidRDefault="004552BC" w:rsidP="00D92742">
      <w:pPr>
        <w:rPr>
          <w:rFonts w:ascii="Calibri Light" w:hAnsi="Calibri Light"/>
          <w:b/>
        </w:rPr>
      </w:pPr>
    </w:p>
    <w:p w14:paraId="3DE3BED5" w14:textId="77777777"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 wp14:anchorId="487E8CAD" wp14:editId="39E7B3F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C453" w14:textId="77777777"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14:paraId="1BA480EB" w14:textId="77777777"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14:paraId="23CC5979" w14:textId="77777777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0F265E8" w14:textId="77777777"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14:paraId="3E3C210A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14:paraId="2260FC27" w14:textId="77777777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12C74" w14:textId="77777777"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14:paraId="69635281" w14:textId="342A23D7" w:rsidR="005328C3" w:rsidRPr="005328C3" w:rsidRDefault="004B53AE" w:rsidP="004B53AE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4B53AE">
              <w:rPr>
                <w:rFonts w:asciiTheme="majorHAnsi" w:hAnsiTheme="majorHAnsi" w:cstheme="majorHAnsi"/>
                <w:b/>
              </w:rPr>
              <w:t xml:space="preserve">Odluke </w:t>
            </w:r>
            <w:r w:rsidR="007F460B" w:rsidRPr="007F460B">
              <w:rPr>
                <w:rFonts w:asciiTheme="majorHAnsi" w:hAnsiTheme="majorHAnsi" w:cstheme="majorHAnsi"/>
                <w:b/>
              </w:rPr>
              <w:t>o dopuni Odluke o izvršavanju proračuna Grada Biograda na Moru za 2026. godinu</w:t>
            </w:r>
          </w:p>
        </w:tc>
      </w:tr>
      <w:tr w:rsidR="005328C3" w:rsidRPr="0086248B" w14:paraId="48712085" w14:textId="77777777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61D1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14:paraId="4E87BD2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14:paraId="4A8A9B3C" w14:textId="77777777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9587F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14:paraId="16C4D33C" w14:textId="5EE4A912" w:rsidR="005328C3" w:rsidRPr="00C1045E" w:rsidRDefault="007F460B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16</w:t>
            </w:r>
            <w:r w:rsidR="004B53A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4B53AE">
              <w:rPr>
                <w:rFonts w:ascii="Calibri Light" w:eastAsia="Calibri Light" w:hAnsi="Calibri Light"/>
                <w:b/>
                <w:lang w:eastAsia="hr-HR"/>
              </w:rPr>
              <w:t>lipnja</w:t>
            </w:r>
            <w:r w:rsidR="004B53A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20</w:t>
            </w:r>
            <w:r w:rsidR="004B53AE"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4B53AE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86922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14:paraId="4A160A01" w14:textId="5270EEF0" w:rsidR="005328C3" w:rsidRPr="00C1045E" w:rsidRDefault="007F460B" w:rsidP="00D74777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16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4B53AE">
              <w:rPr>
                <w:rFonts w:ascii="Calibri Light" w:eastAsia="Calibri Light" w:hAnsi="Calibri Light"/>
                <w:b/>
                <w:lang w:eastAsia="hr-HR"/>
              </w:rPr>
              <w:t>srpnja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14:paraId="42722297" w14:textId="77777777"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14:paraId="2FA5D3DF" w14:textId="77777777"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14:paraId="07BDE3C3" w14:textId="77777777"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14:paraId="53C34AC4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C9A00" w14:textId="06D90A35" w:rsidR="00596F81" w:rsidRPr="00596F81" w:rsidRDefault="00596F81" w:rsidP="00596F81">
            <w:pPr>
              <w:pStyle w:val="Bezproreda"/>
              <w:numPr>
                <w:ilvl w:val="0"/>
                <w:numId w:val="16"/>
              </w:numPr>
              <w:ind w:left="306" w:hanging="284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96F81">
              <w:rPr>
                <w:rFonts w:asciiTheme="majorHAnsi" w:hAnsiTheme="majorHAnsi" w:cstheme="majorHAnsi"/>
                <w:b/>
                <w:sz w:val="22"/>
                <w:szCs w:val="22"/>
              </w:rPr>
              <w:t>UVOD</w:t>
            </w:r>
          </w:p>
          <w:p w14:paraId="246CFA5F" w14:textId="77777777" w:rsidR="00596F81" w:rsidRPr="00596F81" w:rsidRDefault="00596F81" w:rsidP="00596F81">
            <w:pPr>
              <w:pStyle w:val="Bezproreda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6F81">
              <w:rPr>
                <w:rFonts w:asciiTheme="majorHAnsi" w:hAnsiTheme="majorHAnsi" w:cstheme="majorHAnsi"/>
                <w:bCs/>
                <w:sz w:val="22"/>
                <w:szCs w:val="22"/>
              </w:rPr>
              <w:t>Na temelju Uputa za izradu proračuna jedinica lokalne i područne (regionalne) samouprave za razdoblje 2026. – 2028. godine koje je sastavilo Ministarstvo financija izrađene su Upute za izradu Proračuna Grada Biograda na Moru za 2026. godinu i projekcije za 2027. i 2028. godinu.</w:t>
            </w:r>
          </w:p>
          <w:p w14:paraId="03CDD878" w14:textId="77777777" w:rsidR="00596F81" w:rsidRPr="00596F81" w:rsidRDefault="00596F81" w:rsidP="00596F81">
            <w:pPr>
              <w:pStyle w:val="Bezproreda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6F81">
              <w:rPr>
                <w:rFonts w:asciiTheme="majorHAnsi" w:hAnsiTheme="majorHAnsi" w:cstheme="majorHAnsi"/>
                <w:bCs/>
                <w:sz w:val="22"/>
                <w:szCs w:val="22"/>
              </w:rPr>
              <w:t>Metodologija izrade proračuna propisana je Zakonom o proračunu ("Narodne novine" br. 144/21.) i podzakonskim aktima: Pravilnikom o proračunskim klasifikacijama ("Narodne novine" br. 4/24.) i Pravilnikom o proračunskom računovodstvu i Računskom planu ("Narodne novine" br. 158/23.).</w:t>
            </w:r>
          </w:p>
          <w:p w14:paraId="21E0BCB8" w14:textId="47515D36" w:rsidR="00596F81" w:rsidRPr="00596F81" w:rsidRDefault="00596F81" w:rsidP="00596F81">
            <w:pPr>
              <w:pStyle w:val="Bezproreda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96F81">
              <w:rPr>
                <w:rFonts w:asciiTheme="majorHAnsi" w:hAnsiTheme="majorHAnsi" w:cstheme="majorHAnsi"/>
                <w:bCs/>
                <w:sz w:val="22"/>
                <w:szCs w:val="22"/>
              </w:rPr>
              <w:t>Naved</w:t>
            </w:r>
            <w:r w:rsidR="00E27619">
              <w:rPr>
                <w:rFonts w:asciiTheme="majorHAnsi" w:hAnsiTheme="majorHAnsi" w:cstheme="majorHAnsi"/>
                <w:bCs/>
                <w:sz w:val="22"/>
                <w:szCs w:val="22"/>
              </w:rPr>
              <w:t>e</w:t>
            </w:r>
            <w:r w:rsidRPr="00596F81">
              <w:rPr>
                <w:rFonts w:asciiTheme="majorHAnsi" w:hAnsiTheme="majorHAnsi" w:cstheme="majorHAnsi"/>
                <w:bCs/>
                <w:sz w:val="22"/>
                <w:szCs w:val="22"/>
              </w:rPr>
              <w:t>nim aktima omogućava se financiranje poslova, funkcija i programa radi ostvarivanja javnih potreba i prava građana koji se temeljem posebnih zakona i drugih na zakonu zasnovanih propisa financiraju iz javnih prihoda, odnosno iz proračuna Grada.</w:t>
            </w:r>
          </w:p>
          <w:p w14:paraId="3EF8DBF3" w14:textId="051E9F35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96F81">
              <w:rPr>
                <w:rFonts w:asciiTheme="majorHAnsi" w:hAnsiTheme="majorHAnsi" w:cstheme="majorHAnsi"/>
              </w:rPr>
              <w:t>Proračun Grada Biograda na Moru za 2026. godinu kao i projekcije za 2027. i 2028. godinu  usvojen je na 28. sjednici Gradskog vijeća Grada Biograda na Moru održanoj dana 22. prosinca 2025. godine ("Službeni glasnik Grada Biograda na Moru", broj 11/2025.).</w:t>
            </w:r>
          </w:p>
          <w:p w14:paraId="594AB84A" w14:textId="02CE6051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96F81">
              <w:rPr>
                <w:rFonts w:asciiTheme="majorHAnsi" w:hAnsiTheme="majorHAnsi" w:cstheme="majorHAnsi"/>
              </w:rPr>
              <w:t xml:space="preserve">Osnovni uzrok Izmjena i dopuna Proračuna Grada Biograda na Moru za 2026. godinu (u daljnjem tekstu Rebalans I) je potreba povećanja nekih pozicija rashoda s obzirom na intenziviranje pojedinih projekata i aktivnosti te otvaranje novih pozicija za nove rashode. Također, otvorene su nove pozicije koje se odnose na primitke od financijske imovine i zaduživanja, odnosno otvorena je pozicija za kreditiranje projekta </w:t>
            </w:r>
            <w:r w:rsidRPr="00596F81">
              <w:rPr>
                <w:rFonts w:asciiTheme="majorHAnsi" w:hAnsiTheme="majorHAnsi" w:cstheme="majorHAnsi"/>
                <w:i/>
                <w:iCs/>
              </w:rPr>
              <w:t>"Razvoj zelene infrastrukture na području grada Biograda na Moru"</w:t>
            </w:r>
            <w:r w:rsidRPr="00596F81">
              <w:rPr>
                <w:rFonts w:asciiTheme="majorHAnsi" w:hAnsiTheme="majorHAnsi" w:cstheme="majorHAnsi"/>
              </w:rPr>
              <w:t xml:space="preserve">. </w:t>
            </w:r>
          </w:p>
          <w:p w14:paraId="0EF467C3" w14:textId="75182752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96F81">
              <w:rPr>
                <w:rFonts w:asciiTheme="majorHAnsi" w:hAnsiTheme="majorHAnsi" w:cstheme="majorHAnsi"/>
                <w:bCs/>
              </w:rPr>
              <w:t>Prilikom izrade I. izmjena i dopuna proračuna Grada Biograda na Moru za 2026. godinu usklađivali su se izvori na pozicijama prihoda sa izvorima na pozicijama rashoda te su se iz tog razloga pojedine pozicije prihoda i rashoda mijenjale.</w:t>
            </w:r>
          </w:p>
          <w:p w14:paraId="37DBA0A7" w14:textId="3AA95F5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96F81">
              <w:rPr>
                <w:rFonts w:asciiTheme="majorHAnsi" w:hAnsiTheme="majorHAnsi" w:cstheme="majorHAnsi"/>
              </w:rPr>
              <w:t xml:space="preserve">Također, ovim  Rebalansom I u Proračunu Grada Biograda na Moru za 2026. godinu sukladno odredbama Zakona o proračunu </w:t>
            </w:r>
            <w:bookmarkStart w:id="0" w:name="_Hlk97888050"/>
            <w:r w:rsidRPr="00596F81">
              <w:rPr>
                <w:rFonts w:asciiTheme="majorHAnsi" w:hAnsiTheme="majorHAnsi" w:cstheme="majorHAnsi"/>
              </w:rPr>
              <w:t>("Narodne novine" br. 144/21.)</w:t>
            </w:r>
            <w:bookmarkEnd w:id="0"/>
            <w:r w:rsidRPr="00596F81">
              <w:rPr>
                <w:rFonts w:asciiTheme="majorHAnsi" w:hAnsiTheme="majorHAnsi" w:cstheme="majorHAnsi"/>
              </w:rPr>
              <w:t xml:space="preserve"> te Pravilnika o proračunskom računovodstvu i Računskom planu ("Narodne novine" br. 158/23.) uključeni su svi vlastiti prihodi, namjenski prihodi i primici proračunskih korisnika iz svoje nadležnosti, kao i primici od financijske imovine i zaduživanja. Bez obzira na uključenost prihoda proračunskih korisnika u proračun, oni i nadalje ostaju prihodi i primici proračunskih korisnika te se tako i evidentiraju. Prihodima koje ostvare proračunski korisnici podmiruju se rashodi koje ostvare isti. </w:t>
            </w:r>
          </w:p>
          <w:p w14:paraId="7FAEF677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</w:rPr>
            </w:pPr>
            <w:r w:rsidRPr="00596F81">
              <w:rPr>
                <w:rFonts w:asciiTheme="majorHAnsi" w:eastAsiaTheme="minorHAnsi" w:hAnsiTheme="majorHAnsi" w:cstheme="majorHAnsi"/>
              </w:rPr>
              <w:t>Proračunski korisnici Grada Biograda na Moru:</w:t>
            </w:r>
          </w:p>
          <w:p w14:paraId="76321E3A" w14:textId="77777777" w:rsidR="00596F81" w:rsidRPr="00596F81" w:rsidRDefault="00596F81" w:rsidP="00596F8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HAnsi" w:eastAsiaTheme="minorHAnsi" w:hAnsiTheme="majorHAnsi" w:cstheme="majorHAnsi"/>
              </w:rPr>
            </w:pPr>
            <w:r w:rsidRPr="00596F81">
              <w:rPr>
                <w:rFonts w:asciiTheme="majorHAnsi" w:eastAsiaTheme="minorHAnsi" w:hAnsiTheme="majorHAnsi" w:cstheme="majorHAnsi"/>
              </w:rPr>
              <w:t>Gradska knjižnica Biograd</w:t>
            </w:r>
          </w:p>
          <w:p w14:paraId="7BBE7F98" w14:textId="77777777" w:rsidR="00596F81" w:rsidRPr="00596F81" w:rsidRDefault="00596F81" w:rsidP="00596F8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HAnsi" w:eastAsiaTheme="minorHAnsi" w:hAnsiTheme="majorHAnsi" w:cstheme="majorHAnsi"/>
              </w:rPr>
            </w:pPr>
            <w:r w:rsidRPr="00596F81">
              <w:rPr>
                <w:rFonts w:asciiTheme="majorHAnsi" w:eastAsiaTheme="minorHAnsi" w:hAnsiTheme="majorHAnsi" w:cstheme="majorHAnsi"/>
              </w:rPr>
              <w:t>Zavičajni muzej Biograd</w:t>
            </w:r>
          </w:p>
          <w:p w14:paraId="5631D30B" w14:textId="77777777" w:rsidR="00596F81" w:rsidRPr="00596F81" w:rsidRDefault="00596F81" w:rsidP="00596F8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HAnsi" w:eastAsiaTheme="minorHAnsi" w:hAnsiTheme="majorHAnsi" w:cstheme="majorHAnsi"/>
              </w:rPr>
            </w:pPr>
            <w:r w:rsidRPr="00596F81">
              <w:rPr>
                <w:rFonts w:asciiTheme="majorHAnsi" w:eastAsiaTheme="minorHAnsi" w:hAnsiTheme="majorHAnsi" w:cstheme="majorHAnsi"/>
              </w:rPr>
              <w:t>Dječji vrtić Ivana Brlić Mažuranić</w:t>
            </w:r>
          </w:p>
          <w:p w14:paraId="507A2B55" w14:textId="77777777" w:rsidR="00596F81" w:rsidRPr="00596F81" w:rsidRDefault="00596F81" w:rsidP="00596F8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HAnsi" w:eastAsiaTheme="minorHAnsi" w:hAnsiTheme="majorHAnsi" w:cstheme="majorHAnsi"/>
              </w:rPr>
            </w:pPr>
            <w:r w:rsidRPr="00596F81">
              <w:rPr>
                <w:rFonts w:asciiTheme="majorHAnsi" w:eastAsiaTheme="minorHAnsi" w:hAnsiTheme="majorHAnsi" w:cstheme="majorHAnsi"/>
              </w:rPr>
              <w:t>Javna vatrogasna pristojba Biograd.</w:t>
            </w:r>
          </w:p>
          <w:p w14:paraId="34A92966" w14:textId="0EBB6267" w:rsid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96F81">
              <w:rPr>
                <w:rFonts w:asciiTheme="majorHAnsi" w:hAnsiTheme="majorHAnsi" w:cstheme="majorHAnsi"/>
              </w:rPr>
              <w:lastRenderedPageBreak/>
              <w:t>Rebalansom I Proračuna Grada Biograda na Moru za 2026. godinu ukupno planirani iznos proračuna se mijenja te će iznositi ukupno 62.500.000,00 eura.</w:t>
            </w:r>
          </w:p>
          <w:p w14:paraId="6C078D77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0433DFCA" w14:textId="0B611D23" w:rsidR="00596F81" w:rsidRPr="00596F81" w:rsidRDefault="00596F81" w:rsidP="00596F81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ind w:left="306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96F81">
              <w:rPr>
                <w:rFonts w:asciiTheme="majorHAnsi" w:hAnsiTheme="majorHAnsi" w:cstheme="majorHAnsi"/>
                <w:b/>
                <w:bCs/>
              </w:rPr>
              <w:t>OPĆI DIO PRORAČUNA</w:t>
            </w:r>
          </w:p>
          <w:p w14:paraId="551D07D9" w14:textId="77777777" w:rsidR="00596F81" w:rsidRPr="00596F81" w:rsidRDefault="00596F81" w:rsidP="00596F8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596F81">
              <w:rPr>
                <w:rFonts w:asciiTheme="majorHAnsi" w:hAnsiTheme="majorHAnsi" w:cstheme="majorHAnsi"/>
                <w:b/>
              </w:rPr>
              <w:t>PRIHODI I PRIMICI PRORAČUNA</w:t>
            </w:r>
          </w:p>
          <w:p w14:paraId="55C2E3E7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1A882758" w14:textId="78CB0AFC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96F81">
              <w:rPr>
                <w:rFonts w:asciiTheme="majorHAnsi" w:hAnsiTheme="majorHAnsi" w:cstheme="majorHAnsi"/>
                <w:b/>
              </w:rPr>
              <w:t xml:space="preserve">Rebalansom I Proračuna ukupni prihodi i primici u 2026. godini se planiraju u iznosu od 62.500.000,00 eura. </w:t>
            </w:r>
          </w:p>
          <w:p w14:paraId="3D9880B5" w14:textId="20715006" w:rsid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96F81">
              <w:rPr>
                <w:rFonts w:asciiTheme="majorHAnsi" w:hAnsiTheme="majorHAnsi" w:cstheme="majorHAnsi"/>
              </w:rPr>
              <w:t>Povećanje i smanjenje prihoda i primitaka prikazano je u sljedećoj tablici (podaci iskazani u eurima):</w:t>
            </w:r>
          </w:p>
          <w:p w14:paraId="64197D50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tbl>
            <w:tblPr>
              <w:tblW w:w="88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86"/>
              <w:gridCol w:w="1701"/>
              <w:gridCol w:w="1559"/>
              <w:gridCol w:w="1560"/>
            </w:tblGrid>
            <w:tr w:rsidR="00596F81" w:rsidRPr="00596F81" w14:paraId="2491BBCB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CB9CA" w:themeFill="text2" w:themeFillTint="66"/>
                  <w:vAlign w:val="center"/>
                  <w:hideMark/>
                </w:tcPr>
                <w:p w14:paraId="1E8E7998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PRIHODI I PRIMICI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CB9CA" w:themeFill="text2" w:themeFillTint="66"/>
                  <w:vAlign w:val="center"/>
                  <w:hideMark/>
                </w:tcPr>
                <w:p w14:paraId="5ADB8DE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PRORAČUN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CB9CA" w:themeFill="text2" w:themeFillTint="66"/>
                  <w:vAlign w:val="center"/>
                  <w:hideMark/>
                </w:tcPr>
                <w:p w14:paraId="33DF3D3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PROMJENA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CB9CA" w:themeFill="text2" w:themeFillTint="66"/>
                  <w:vAlign w:val="center"/>
                  <w:hideMark/>
                </w:tcPr>
                <w:p w14:paraId="163C5B9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REBALANS I</w:t>
                  </w:r>
                </w:p>
              </w:tc>
            </w:tr>
            <w:tr w:rsidR="00596F81" w:rsidRPr="00596F81" w14:paraId="7569F3F7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center"/>
                  <w:hideMark/>
                </w:tcPr>
                <w:p w14:paraId="05DE26BA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6 Prihodi poslovanja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center"/>
                  <w:hideMark/>
                </w:tcPr>
                <w:p w14:paraId="36806817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27.557.787,35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center"/>
                  <w:hideMark/>
                </w:tcPr>
                <w:p w14:paraId="77260ED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-1.380.544,86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center"/>
                  <w:hideMark/>
                </w:tcPr>
                <w:p w14:paraId="0A157D06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26.177.242,49</w:t>
                  </w:r>
                </w:p>
              </w:tc>
            </w:tr>
            <w:tr w:rsidR="00596F81" w:rsidRPr="00596F81" w14:paraId="67379B51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C1520C" w14:textId="77777777" w:rsidR="00596F81" w:rsidRPr="00596F81" w:rsidRDefault="00596F81" w:rsidP="00596F81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61 Prihodi od poreza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F75985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8.628.054,35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D62E0F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626.902,21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55CE12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9.254.956,56</w:t>
                  </w:r>
                </w:p>
              </w:tc>
            </w:tr>
            <w:tr w:rsidR="00596F81" w:rsidRPr="00596F81" w14:paraId="5AA9B2DF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B4E6B0F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63 Pomoći iz inozemstva i od subjekata unutar općeg proračuna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A6E093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8.523.723,00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A64A35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-2.330.070,07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1DA9C4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6.193.652,93</w:t>
                  </w:r>
                </w:p>
              </w:tc>
            </w:tr>
            <w:tr w:rsidR="00596F81" w:rsidRPr="00596F81" w14:paraId="706F3945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B3FEA81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64 Prihodi od imovine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E143A5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4.242.295,00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9100A6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12.623,00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76B0A1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4.254.918,00</w:t>
                  </w:r>
                </w:p>
              </w:tc>
            </w:tr>
            <w:tr w:rsidR="00596F81" w:rsidRPr="00596F81" w14:paraId="517F7B70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5F50440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65 Prihodi od upravnih i administrativnih pristojbi, pristojbi po posebnim propisima i naknada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3B0F29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6.158.455,00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656DDD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275.000,00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D88BB2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6.433.455,00</w:t>
                  </w:r>
                </w:p>
              </w:tc>
            </w:tr>
            <w:tr w:rsidR="00596F81" w:rsidRPr="00596F81" w14:paraId="2BF6806C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2AF5619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66 Prihodi od prodaje proizvoda i robe te pruženih usluga i prihodi od donacija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B86D1D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3.200,00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E2C763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35.000,00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ABF679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38.200,00</w:t>
                  </w:r>
                </w:p>
              </w:tc>
            </w:tr>
            <w:tr w:rsidR="00596F81" w:rsidRPr="00596F81" w14:paraId="768E0497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AA98448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68 Kazne, upravne mjere i ostali prihodi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44477D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2.060,00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1B6BAC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A28B3F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2.060,00</w:t>
                  </w:r>
                </w:p>
              </w:tc>
            </w:tr>
            <w:tr w:rsidR="00596F81" w:rsidRPr="00596F81" w14:paraId="29000D02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bottom"/>
                  <w:hideMark/>
                </w:tcPr>
                <w:p w14:paraId="41531595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7 Prihodi od prodaje nefinancijske imovine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bottom"/>
                  <w:hideMark/>
                </w:tcPr>
                <w:p w14:paraId="2B6FD15E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13.397.914,32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bottom"/>
                  <w:hideMark/>
                </w:tcPr>
                <w:p w14:paraId="7BBFCDA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-77.070,79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bottom"/>
                  <w:hideMark/>
                </w:tcPr>
                <w:p w14:paraId="0840621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13.320.843,53</w:t>
                  </w:r>
                </w:p>
              </w:tc>
            </w:tr>
            <w:tr w:rsidR="00596F81" w:rsidRPr="00596F81" w14:paraId="69AAA320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1FFDAD9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 xml:space="preserve">71 Prihodi od prodaje </w:t>
                  </w:r>
                  <w:proofErr w:type="spellStart"/>
                  <w:r w:rsidRPr="00596F81">
                    <w:rPr>
                      <w:rFonts w:asciiTheme="majorHAnsi" w:hAnsiTheme="majorHAnsi" w:cstheme="majorHAnsi"/>
                    </w:rPr>
                    <w:t>neproizvedene</w:t>
                  </w:r>
                  <w:proofErr w:type="spellEnd"/>
                  <w:r w:rsidRPr="00596F81">
                    <w:rPr>
                      <w:rFonts w:asciiTheme="majorHAnsi" w:hAnsiTheme="majorHAnsi" w:cstheme="majorHAnsi"/>
                    </w:rPr>
                    <w:t xml:space="preserve"> dugotrajne imovine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F7B777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13.390.937,32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EA4139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-77.070,79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7913BA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13.313.866,53</w:t>
                  </w:r>
                </w:p>
              </w:tc>
            </w:tr>
            <w:tr w:rsidR="00596F81" w:rsidRPr="00596F81" w14:paraId="6C92B404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240EF92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72 Prihodi od prodaje proizvedene dugotrajne imovine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03391E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6.977,00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571FB6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0C765A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6.977,00</w:t>
                  </w:r>
                </w:p>
              </w:tc>
            </w:tr>
            <w:tr w:rsidR="00596F81" w:rsidRPr="00596F81" w14:paraId="32FD3353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bottom"/>
                  <w:hideMark/>
                </w:tcPr>
                <w:p w14:paraId="5310F82F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8 Primici od financijske imovine i zaduživanja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bottom"/>
                  <w:hideMark/>
                </w:tcPr>
                <w:p w14:paraId="4D0E114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20.944.298,33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bottom"/>
                  <w:hideMark/>
                </w:tcPr>
                <w:p w14:paraId="2FBA4B8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2.057.615,65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bottom"/>
                  <w:hideMark/>
                </w:tcPr>
                <w:p w14:paraId="18EF64D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23.001.913,98</w:t>
                  </w:r>
                </w:p>
              </w:tc>
            </w:tr>
            <w:tr w:rsidR="00596F81" w:rsidRPr="00596F81" w14:paraId="574A6C99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6A6C41B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84 Primici od zaduživanja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6BE083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20.944.298,33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34D051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2.057.615,65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CC9DDB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23.001.913,98</w:t>
                  </w:r>
                </w:p>
              </w:tc>
            </w:tr>
            <w:tr w:rsidR="00596F81" w:rsidRPr="00596F81" w14:paraId="1965CEEE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bottom"/>
                  <w:hideMark/>
                </w:tcPr>
                <w:p w14:paraId="5D35043E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9 Vlastiti izvori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bottom"/>
                  <w:hideMark/>
                </w:tcPr>
                <w:p w14:paraId="55F0B67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762.054,00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bottom"/>
                  <w:hideMark/>
                </w:tcPr>
                <w:p w14:paraId="0E95857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5DCE4" w:themeFill="text2" w:themeFillTint="33"/>
                  <w:vAlign w:val="bottom"/>
                  <w:hideMark/>
                </w:tcPr>
                <w:p w14:paraId="192E1EF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762.054,00</w:t>
                  </w:r>
                </w:p>
              </w:tc>
            </w:tr>
            <w:tr w:rsidR="00596F81" w:rsidRPr="00596F81" w14:paraId="7821C982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1C04FF5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92 Manjak prihoda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9C85F7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762.054,00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704376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7CEEB3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762.054,00</w:t>
                  </w:r>
                </w:p>
              </w:tc>
            </w:tr>
          </w:tbl>
          <w:p w14:paraId="011824BB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1645D894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96F81">
              <w:rPr>
                <w:rFonts w:asciiTheme="majorHAnsi" w:hAnsiTheme="majorHAnsi" w:cstheme="majorHAnsi"/>
                <w:bCs/>
              </w:rPr>
              <w:t>Prihodi od poreza sastoje se od dvije grupe poreza, a to su gradski porezi te takozvani zajednički porezi koje se dijele između grada, županije i države, a odnose se na porez na dohodak, porez na imovinu, porez na robe i usluge. S obzirom na ostvarenje navedene grupe prihoda u 2025. godini, isti su bili temelj za planiranje u proračunskom razdoblju 2026. – 2028. godine uzimajući u obzir izmjene poreznih propisa. Prihodi od poreza su značajna vrsta prihoda u Proračunu Grada Biograda na Moru te se ovim izmjenama i dopunama proračuna povećavaju sa 8.628.054,35 eura na 9.254.956,56 eura.</w:t>
            </w:r>
          </w:p>
          <w:p w14:paraId="1092538D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589C0686" w14:textId="2EE69909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96F81">
              <w:rPr>
                <w:rFonts w:asciiTheme="majorHAnsi" w:hAnsiTheme="majorHAnsi" w:cstheme="majorHAnsi"/>
                <w:bCs/>
              </w:rPr>
              <w:t>Prihodi od pomoći iz inozemstva i od subjekata unutar općeg proračuna planirani su u iznosu od 8.523.723,00 eura. Unutar ove skupine prihoda planirane su tekuće i kapitalne pomoći proračunu iz drugih proračuna, kapitalne pomoći tem</w:t>
            </w:r>
            <w:r>
              <w:rPr>
                <w:rFonts w:asciiTheme="majorHAnsi" w:hAnsiTheme="majorHAnsi" w:cstheme="majorHAnsi"/>
                <w:bCs/>
              </w:rPr>
              <w:t>e</w:t>
            </w:r>
            <w:r w:rsidRPr="00596F81">
              <w:rPr>
                <w:rFonts w:asciiTheme="majorHAnsi" w:hAnsiTheme="majorHAnsi" w:cstheme="majorHAnsi"/>
                <w:bCs/>
              </w:rPr>
              <w:t>ljem prijenosa EU sredstava te tekuće pomoći od ostalih subjekata unutar općeg proračuna. Izmjenama i dopunama proračuna iznos ove skupina prihoda se smanjuje na 6.193.652,93 eura</w:t>
            </w:r>
          </w:p>
          <w:p w14:paraId="74B33102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62FAB37B" w14:textId="5F89C6AF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96F81">
              <w:rPr>
                <w:rFonts w:asciiTheme="majorHAnsi" w:hAnsiTheme="majorHAnsi" w:cstheme="majorHAnsi"/>
                <w:b/>
              </w:rPr>
              <w:t>ZNAČAJNE PROMJENE PRIHODA:</w:t>
            </w:r>
          </w:p>
          <w:p w14:paraId="46C45657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96F81">
              <w:rPr>
                <w:rFonts w:asciiTheme="majorHAnsi" w:hAnsiTheme="majorHAnsi" w:cstheme="majorHAnsi"/>
              </w:rPr>
              <w:t>Pozicije prihoda sa znatnijim promjenama su prikazani u sljedećoj tablici (podaci iskazani u eurima):</w:t>
            </w:r>
          </w:p>
          <w:p w14:paraId="75312D94" w14:textId="77777777" w:rsid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52C62A3D" w14:textId="77777777" w:rsid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590EB260" w14:textId="77777777" w:rsid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12DD4CAC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tbl>
            <w:tblPr>
              <w:tblW w:w="88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75"/>
              <w:gridCol w:w="2853"/>
              <w:gridCol w:w="1493"/>
              <w:gridCol w:w="1626"/>
              <w:gridCol w:w="1559"/>
            </w:tblGrid>
            <w:tr w:rsidR="00596F81" w:rsidRPr="00596F81" w14:paraId="2773E112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7AAE8F22" w14:textId="77777777" w:rsidR="00596F81" w:rsidRPr="00596F81" w:rsidRDefault="00596F81" w:rsidP="00596F81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POZICIJA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15B5FBAC" w14:textId="77777777" w:rsidR="00596F81" w:rsidRPr="00596F81" w:rsidRDefault="00596F81" w:rsidP="00596F81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OPIS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0184B3C1" w14:textId="77777777" w:rsidR="00596F81" w:rsidRPr="00596F81" w:rsidRDefault="00596F81" w:rsidP="00596F81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PRORAČUN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5AF0A46A" w14:textId="77777777" w:rsidR="00596F81" w:rsidRPr="00596F81" w:rsidRDefault="00596F81" w:rsidP="00596F81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PROMJENA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hideMark/>
                </w:tcPr>
                <w:p w14:paraId="5CE06447" w14:textId="77777777" w:rsidR="00596F81" w:rsidRPr="00596F81" w:rsidRDefault="00596F81" w:rsidP="00596F81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REBALANS I</w:t>
                  </w:r>
                </w:p>
              </w:tc>
            </w:tr>
            <w:tr w:rsidR="00596F81" w:rsidRPr="00596F81" w14:paraId="2C52C0E3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38E2AE2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P001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00FF48C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Porez i prirez na dohodak od nesamostalnog rada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F256D8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5.680.479,35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9E7EFF7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576.902,21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1EDD6B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6.257.381,56</w:t>
                  </w:r>
                </w:p>
              </w:tc>
            </w:tr>
            <w:tr w:rsidR="00596F81" w:rsidRPr="00596F81" w14:paraId="5863D972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DBE83DA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P002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0D535AA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Porez i prirez na dohodak od samostalnih djelatnosti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E786AC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211.111,00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CA58B6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5E25F0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236.111,00</w:t>
                  </w:r>
                </w:p>
              </w:tc>
            </w:tr>
            <w:tr w:rsidR="00596F81" w:rsidRPr="00596F81" w14:paraId="24750A1B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999BEB6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P003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A360CDA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Porez na dohodak od samostalnog rada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698050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185.682,00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104A9DE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AF56D76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205.862,00</w:t>
                  </w:r>
                </w:p>
              </w:tc>
            </w:tr>
            <w:tr w:rsidR="00596F81" w:rsidRPr="00596F81" w14:paraId="375EBC16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91182AA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P005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FCE9593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Porez na dohodak od iznajmljivanja soba turistima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34D1A7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290.790,00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FFC4C9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D126FF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315.790,00</w:t>
                  </w:r>
                </w:p>
              </w:tc>
            </w:tr>
            <w:tr w:rsidR="00596F81" w:rsidRPr="00596F81" w14:paraId="6844061A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86271E8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P009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3B8A9ED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Stalni porezi na neokretnu imovinu (zemlju, zgrade, kuće i ostalo) - 1716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E5B980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121.900,00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AE32CF6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-20.000,00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840C7F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101.900,00</w:t>
                  </w:r>
                </w:p>
              </w:tc>
            </w:tr>
            <w:tr w:rsidR="00596F81" w:rsidRPr="00596F81" w14:paraId="34AF0440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4AAF647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P113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DB6CBAB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 xml:space="preserve">Kapitalne pomoći od inozemnih vlada-Prekogranični natječaj </w:t>
                  </w:r>
                  <w:proofErr w:type="spellStart"/>
                  <w:r w:rsidRPr="00596F81">
                    <w:rPr>
                      <w:rFonts w:asciiTheme="majorHAnsi" w:hAnsiTheme="majorHAnsi" w:cstheme="majorHAnsi"/>
                    </w:rPr>
                    <w:t>RH-BiH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8B0631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1D57E6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47.710,00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6603A7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47.710,00</w:t>
                  </w:r>
                </w:p>
              </w:tc>
            </w:tr>
            <w:tr w:rsidR="00596F81" w:rsidRPr="00596F81" w14:paraId="2FF1FDEC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942E71D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P016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6A91189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Kapitalne pomoći iz državnog proračuna - 7978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F1291F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831.500,00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677228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530.197,00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3744E7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1.361.697,00</w:t>
                  </w:r>
                </w:p>
              </w:tc>
            </w:tr>
            <w:tr w:rsidR="00596F81" w:rsidRPr="00596F81" w14:paraId="47A758D4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1A71B67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P055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2D32200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Kapitalne pomoći temeljem prijenosa EU sredstava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8CC1CE9" w14:textId="77777777" w:rsidR="00596F81" w:rsidRPr="00596F81" w:rsidRDefault="00596F81" w:rsidP="00596F81">
                  <w:pPr>
                    <w:tabs>
                      <w:tab w:val="center" w:pos="884"/>
                    </w:tabs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7.011.690,00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97DF85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-3.158.010,80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0AD692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3.853.679,20</w:t>
                  </w:r>
                </w:p>
              </w:tc>
            </w:tr>
            <w:tr w:rsidR="00596F81" w:rsidRPr="00596F81" w14:paraId="007186A7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A079341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P114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FA92771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Tekuće pomoći temeljem prijenosa EU sredstava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75AD338" w14:textId="77777777" w:rsidR="00596F81" w:rsidRPr="00596F81" w:rsidRDefault="00596F81" w:rsidP="00596F81">
                  <w:pPr>
                    <w:tabs>
                      <w:tab w:val="center" w:pos="884"/>
                    </w:tabs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0,00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265FBE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199.518,85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D7D069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199.518,85</w:t>
                  </w:r>
                </w:p>
              </w:tc>
            </w:tr>
            <w:tr w:rsidR="00596F81" w:rsidRPr="00596F81" w14:paraId="780E12C8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E475AF5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P025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2793BE0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Boravišne pristojbe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FFAE1AB" w14:textId="77777777" w:rsidR="00596F81" w:rsidRPr="00596F81" w:rsidRDefault="00596F81" w:rsidP="00596F81">
                  <w:pPr>
                    <w:tabs>
                      <w:tab w:val="center" w:pos="884"/>
                    </w:tabs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247.634,00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6B044C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34BA53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287.634,00</w:t>
                  </w:r>
                </w:p>
              </w:tc>
            </w:tr>
            <w:tr w:rsidR="00596F81" w:rsidRPr="00596F81" w14:paraId="0E6EE452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EF380C3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P027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E9F874A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Komunalni doprinosi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916028A" w14:textId="77777777" w:rsidR="00596F81" w:rsidRPr="00596F81" w:rsidRDefault="00596F81" w:rsidP="00596F81">
                  <w:pPr>
                    <w:tabs>
                      <w:tab w:val="center" w:pos="884"/>
                    </w:tabs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4.071.385,00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C6C4E4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111.000,00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20329F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4.182.385,00</w:t>
                  </w:r>
                </w:p>
              </w:tc>
            </w:tr>
            <w:tr w:rsidR="00596F81" w:rsidRPr="00596F81" w14:paraId="5134A7D4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F39D89B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P050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937A2B3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Tekuće donacije od pravnih osoba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669988C" w14:textId="77777777" w:rsidR="00596F81" w:rsidRPr="00596F81" w:rsidRDefault="00596F81" w:rsidP="00596F81">
                  <w:pPr>
                    <w:tabs>
                      <w:tab w:val="center" w:pos="884"/>
                    </w:tabs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3.200,00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C0E25D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5CFD53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35.000,00</w:t>
                  </w:r>
                </w:p>
              </w:tc>
            </w:tr>
            <w:tr w:rsidR="00596F81" w:rsidRPr="00596F81" w14:paraId="58363594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C1756F7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P033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6703199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Prihodi od prodaje zemljište - 7757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92B9BC4" w14:textId="77777777" w:rsidR="00596F81" w:rsidRPr="00596F81" w:rsidRDefault="00596F81" w:rsidP="00596F81">
                  <w:pPr>
                    <w:tabs>
                      <w:tab w:val="center" w:pos="884"/>
                    </w:tabs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13.390.937,32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903783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-77.070,79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5285AF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13.313.866,53</w:t>
                  </w:r>
                </w:p>
              </w:tc>
            </w:tr>
            <w:tr w:rsidR="00596F81" w:rsidRPr="00596F81" w14:paraId="22761B3F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2B26108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P110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04149D3" w14:textId="4FF6BA2E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Primljeni krediti od tuzemnih kreditnih institucija u javnom sektoru (HBOR) – Interpretacijski centar "Blago pot</w:t>
                  </w:r>
                  <w:r w:rsidR="00E27619">
                    <w:rPr>
                      <w:rFonts w:asciiTheme="majorHAnsi" w:hAnsiTheme="majorHAnsi" w:cstheme="majorHAnsi"/>
                    </w:rPr>
                    <w:t>o</w:t>
                  </w:r>
                  <w:r w:rsidRPr="00596F81">
                    <w:rPr>
                      <w:rFonts w:asciiTheme="majorHAnsi" w:hAnsiTheme="majorHAnsi" w:cstheme="majorHAnsi"/>
                    </w:rPr>
                    <w:t>pljenog broda"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3B9D5ED" w14:textId="77777777" w:rsidR="00596F81" w:rsidRPr="00596F81" w:rsidRDefault="00596F81" w:rsidP="00596F81">
                  <w:pPr>
                    <w:tabs>
                      <w:tab w:val="center" w:pos="884"/>
                    </w:tabs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5.530.618,68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B50E0B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-2.530.000,35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8CA42E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3.000.618,33</w:t>
                  </w:r>
                </w:p>
              </w:tc>
            </w:tr>
            <w:tr w:rsidR="00596F81" w:rsidRPr="00596F81" w14:paraId="30DCA193" w14:textId="77777777" w:rsidTr="00596F8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8000C9D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P112</w:t>
                  </w:r>
                </w:p>
              </w:tc>
              <w:tc>
                <w:tcPr>
                  <w:tcW w:w="2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4F0BCE0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Primljeni krediti od tuzemnih kreditnih institucija izvan javnog sektora – Razvoj zelene infrastrukture na području grada Biograda na Moru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28AAF0C" w14:textId="77777777" w:rsidR="00596F81" w:rsidRPr="00596F81" w:rsidRDefault="00596F81" w:rsidP="00596F81">
                  <w:pPr>
                    <w:tabs>
                      <w:tab w:val="center" w:pos="884"/>
                    </w:tabs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0,00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D6A38B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4.587.616,00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F0FEBF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4.587.616,00</w:t>
                  </w:r>
                </w:p>
              </w:tc>
            </w:tr>
          </w:tbl>
          <w:p w14:paraId="239D36C7" w14:textId="77777777" w:rsidR="00E27619" w:rsidRDefault="00E27619" w:rsidP="00E2761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00DEDCC8" w14:textId="2608331A" w:rsidR="00596F81" w:rsidRPr="00E27619" w:rsidRDefault="00596F81" w:rsidP="00E27619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E27619">
              <w:rPr>
                <w:rFonts w:asciiTheme="majorHAnsi" w:hAnsiTheme="majorHAnsi" w:cstheme="majorHAnsi"/>
                <w:b/>
              </w:rPr>
              <w:t>RASHODI I IZDACI PRORAČUNA</w:t>
            </w:r>
          </w:p>
          <w:p w14:paraId="00C8A327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2C27AF04" w14:textId="77777777" w:rsid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96F81">
              <w:rPr>
                <w:rFonts w:asciiTheme="majorHAnsi" w:hAnsiTheme="majorHAnsi" w:cstheme="majorHAnsi"/>
                <w:b/>
              </w:rPr>
              <w:t xml:space="preserve">Ukupni rashodi i izdaci u 2026. godini temeljem ovog Rebalansa I se povećavaju za iznos od 600.000,00  eura te iznose 62.500.000,00 eura. Sukladno odredbama Zakona o proračunu ("Narodne novine" br. 144/21.) uključuju se svi rashodi proračunskih korisnika. </w:t>
            </w:r>
          </w:p>
          <w:p w14:paraId="1561B89E" w14:textId="77777777" w:rsid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152DEFEE" w14:textId="77777777" w:rsid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03A4496B" w14:textId="77777777" w:rsid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53D39655" w14:textId="77777777" w:rsid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32CA0F2B" w14:textId="77777777" w:rsid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0C9F8AAE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0971F300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tbl>
            <w:tblPr>
              <w:tblW w:w="88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86"/>
              <w:gridCol w:w="1701"/>
              <w:gridCol w:w="1559"/>
              <w:gridCol w:w="1560"/>
            </w:tblGrid>
            <w:tr w:rsidR="00596F81" w:rsidRPr="00596F81" w14:paraId="0A2FE8BD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DBDB" w:themeFill="accent3" w:themeFillTint="66"/>
                  <w:vAlign w:val="center"/>
                  <w:hideMark/>
                </w:tcPr>
                <w:p w14:paraId="7383F737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RASHODI I IZDACI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DBDB" w:themeFill="accent3" w:themeFillTint="66"/>
                  <w:vAlign w:val="center"/>
                  <w:hideMark/>
                </w:tcPr>
                <w:p w14:paraId="28AFE19F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PRORAČUN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DBDB" w:themeFill="accent3" w:themeFillTint="66"/>
                  <w:vAlign w:val="center"/>
                  <w:hideMark/>
                </w:tcPr>
                <w:p w14:paraId="7E6F4A87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PROMJENA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DBDB" w:themeFill="accent3" w:themeFillTint="66"/>
                  <w:vAlign w:val="center"/>
                  <w:hideMark/>
                </w:tcPr>
                <w:p w14:paraId="0E8B1EF9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REBALANS I</w:t>
                  </w:r>
                </w:p>
              </w:tc>
            </w:tr>
            <w:tr w:rsidR="00596F81" w:rsidRPr="00596F81" w14:paraId="12D746A8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6B004990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3 Rashodi poslovanja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05130E4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17.247.751,35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4717821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963.318,40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 w:themeFill="accent3" w:themeFillTint="33"/>
                  <w:vAlign w:val="center"/>
                  <w:hideMark/>
                </w:tcPr>
                <w:p w14:paraId="6BE6DDC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18.211.069,75</w:t>
                  </w:r>
                </w:p>
              </w:tc>
            </w:tr>
            <w:tr w:rsidR="00596F81" w:rsidRPr="00596F81" w14:paraId="22BB0F0F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BE5E64" w14:textId="77777777" w:rsidR="00596F81" w:rsidRPr="00596F81" w:rsidRDefault="00596F81" w:rsidP="00596F81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31 Rashodi za zaposlene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D38077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5.109.450,00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983DBC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36.711,00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292BF2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5.146.161,00</w:t>
                  </w:r>
                </w:p>
              </w:tc>
            </w:tr>
            <w:tr w:rsidR="00596F81" w:rsidRPr="00596F81" w14:paraId="280998D5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D3D8385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32 Materijalni rashodi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BEB73B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4.347.479,35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2C1EFD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931.158,40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51B013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5.278.637,75</w:t>
                  </w:r>
                </w:p>
              </w:tc>
            </w:tr>
            <w:tr w:rsidR="00596F81" w:rsidRPr="00596F81" w14:paraId="0761D57B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338E9BD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34 Financijski rashodi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96BC0A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224.472,00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5CA2A46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8.000,00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7C478F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232.472,00</w:t>
                  </w:r>
                </w:p>
              </w:tc>
            </w:tr>
            <w:tr w:rsidR="00596F81" w:rsidRPr="00596F81" w14:paraId="3F778D6A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F478E2C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36 Pomoći dane u inozemstvo i unutar općeg proračuna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7261A8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2.848.200,00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BD59AFE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16.000,00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CA7E136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2.864.200,00</w:t>
                  </w:r>
                </w:p>
              </w:tc>
            </w:tr>
            <w:tr w:rsidR="00596F81" w:rsidRPr="00596F81" w14:paraId="13A32D16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878E935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37 Naknade građanima i kućanstvima na temelju osiguranja i druge naknade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1977DF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1.092.600,00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BC7E27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-100.000,00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E47CD7E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992.600,00</w:t>
                  </w:r>
                </w:p>
              </w:tc>
            </w:tr>
            <w:tr w:rsidR="00596F81" w:rsidRPr="00596F81" w14:paraId="3F115117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60559B4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38 Rashodi za donacije, kazne, naknade šteta i kapitalne pomoći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64F332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3.625.550,00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7696E66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71.449,00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2BD311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3.696.999,00</w:t>
                  </w:r>
                </w:p>
              </w:tc>
            </w:tr>
            <w:tr w:rsidR="00596F81" w:rsidRPr="00596F81" w14:paraId="1AABF880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  <w:vAlign w:val="bottom"/>
                  <w:hideMark/>
                </w:tcPr>
                <w:p w14:paraId="1660C45D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4 Rashodi za nabavu nefinancijske imovine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  <w:vAlign w:val="bottom"/>
                  <w:hideMark/>
                </w:tcPr>
                <w:p w14:paraId="1959D19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42.979.748,65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  <w:vAlign w:val="bottom"/>
                  <w:hideMark/>
                </w:tcPr>
                <w:p w14:paraId="25C980D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-363.318,40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  <w:vAlign w:val="bottom"/>
                  <w:hideMark/>
                </w:tcPr>
                <w:p w14:paraId="3E6097C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42.616.430,25</w:t>
                  </w:r>
                </w:p>
              </w:tc>
            </w:tr>
            <w:tr w:rsidR="00596F81" w:rsidRPr="00596F81" w14:paraId="64E274ED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269115A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 xml:space="preserve">41 Rashodi za nabavu </w:t>
                  </w:r>
                  <w:proofErr w:type="spellStart"/>
                  <w:r w:rsidRPr="00596F81">
                    <w:rPr>
                      <w:rFonts w:asciiTheme="majorHAnsi" w:hAnsiTheme="majorHAnsi" w:cstheme="majorHAnsi"/>
                    </w:rPr>
                    <w:t>neproizvedene</w:t>
                  </w:r>
                  <w:proofErr w:type="spellEnd"/>
                  <w:r w:rsidRPr="00596F81">
                    <w:rPr>
                      <w:rFonts w:asciiTheme="majorHAnsi" w:hAnsiTheme="majorHAnsi" w:cstheme="majorHAnsi"/>
                    </w:rPr>
                    <w:t xml:space="preserve"> dugotrajne imovine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3CB952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4.219.900,00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425720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B952CB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4.219.900,00</w:t>
                  </w:r>
                </w:p>
              </w:tc>
            </w:tr>
            <w:tr w:rsidR="00596F81" w:rsidRPr="00596F81" w14:paraId="56EC0813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EAC8442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42 Rashodi za nabavu proizvedene dugotrajne imovine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B5AC1D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38.758.848,65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3CB94E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-363.318,40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41CFB9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38.395.530,25</w:t>
                  </w:r>
                </w:p>
              </w:tc>
            </w:tr>
            <w:tr w:rsidR="00596F81" w:rsidRPr="00596F81" w14:paraId="266E099A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7FE9A4B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45 Rashodi za dodatna ulaganja na nefinancijskoj imovini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D71FD7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915D6B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5DAD01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1.000,00</w:t>
                  </w:r>
                </w:p>
              </w:tc>
            </w:tr>
            <w:tr w:rsidR="00596F81" w:rsidRPr="00596F81" w14:paraId="5CD9A856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  <w:vAlign w:val="bottom"/>
                  <w:hideMark/>
                </w:tcPr>
                <w:p w14:paraId="66732D76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5 Izdaci za financijsku imovinu i otplate zajmova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  <w:vAlign w:val="bottom"/>
                  <w:hideMark/>
                </w:tcPr>
                <w:p w14:paraId="6BA403D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910.446,00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  <w:vAlign w:val="bottom"/>
                  <w:hideMark/>
                </w:tcPr>
                <w:p w14:paraId="0E35737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  <w:vAlign w:val="bottom"/>
                  <w:hideMark/>
                </w:tcPr>
                <w:p w14:paraId="339B034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  <w:bCs/>
                    </w:rPr>
                    <w:t>910.446,00</w:t>
                  </w:r>
                </w:p>
              </w:tc>
            </w:tr>
            <w:tr w:rsidR="00596F81" w:rsidRPr="00596F81" w14:paraId="251C4361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51BDA83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53 Izdaci za ulaganja u financijske instrumente – dionice i udjele u glavnici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89AA35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F78181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D41170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2.600,00</w:t>
                  </w:r>
                </w:p>
              </w:tc>
            </w:tr>
            <w:tr w:rsidR="00596F81" w:rsidRPr="00596F81" w14:paraId="4DED37A3" w14:textId="77777777" w:rsidTr="00596F81">
              <w:tc>
                <w:tcPr>
                  <w:tcW w:w="3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85194B0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54 Izdaci za otplatu glavnice primljenih kredita i zajmova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CC2037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907.846,00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A0C032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9E128F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</w:rPr>
                  </w:pPr>
                  <w:r w:rsidRPr="00596F81">
                    <w:rPr>
                      <w:rFonts w:asciiTheme="majorHAnsi" w:hAnsiTheme="majorHAnsi" w:cstheme="majorHAnsi"/>
                    </w:rPr>
                    <w:t>907.846,00</w:t>
                  </w:r>
                </w:p>
              </w:tc>
            </w:tr>
          </w:tbl>
          <w:p w14:paraId="59510EF0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2459AE43" w14:textId="18A36B0C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96F81">
              <w:rPr>
                <w:rFonts w:asciiTheme="majorHAnsi" w:hAnsiTheme="majorHAnsi" w:cstheme="majorHAnsi"/>
                <w:bCs/>
              </w:rPr>
              <w:t>Rashodi za zaposlene ovim izmjenama i dopunama proračuna planiraju se u iznosu od 5.146.161,00 eura, a odnose se na plaće i doprinose te ostale rashode za zaposlene vezane uz materijalna prava zaposlenih u Jedinstvenom upravnom odjelu te zaposlenih kod proračunskih korisnika Grada Biograda na Moru.</w:t>
            </w:r>
          </w:p>
          <w:p w14:paraId="7B79ED05" w14:textId="1771CD0B" w:rsid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96F81">
              <w:rPr>
                <w:rFonts w:asciiTheme="majorHAnsi" w:hAnsiTheme="majorHAnsi" w:cstheme="majorHAnsi"/>
                <w:bCs/>
              </w:rPr>
              <w:t>Materijalni rashodi se povećavaju sa 4.347.479,35 eura na 5.278.637,75 eura. Isti se odnose na naknade troškova zaposlenima, rashode za stručno usavršavanje zaposlenih, uredski materija, materijal i sirovine, energiju, materijal i dijelove za tekuće i investicijsko održavanje, sitan inventar, službenu i radnu odjeću, usluge telefona i pošte, usluge tekućeg i investicijskog od</w:t>
            </w:r>
            <w:r w:rsidR="00E27619">
              <w:rPr>
                <w:rFonts w:asciiTheme="majorHAnsi" w:hAnsiTheme="majorHAnsi" w:cstheme="majorHAnsi"/>
                <w:bCs/>
              </w:rPr>
              <w:t>r</w:t>
            </w:r>
            <w:r w:rsidRPr="00596F81">
              <w:rPr>
                <w:rFonts w:asciiTheme="majorHAnsi" w:hAnsiTheme="majorHAnsi" w:cstheme="majorHAnsi"/>
                <w:bCs/>
              </w:rPr>
              <w:t>žavanja, usluge promidžbe, komunalne usluge, zakupnine i najamnine, zdravstvene i veterinarske usluge, intelektualne i osobne usluge, ostale usluge, naknade za rad predstavničkih i izvršnih tijela, premije osiguranja, reprezentaciju, članarine i norme, pristojbe i naknade, troškovi sudskih postupaka te ostale nespomenute rashode poslovanja.</w:t>
            </w:r>
          </w:p>
          <w:p w14:paraId="31301F2D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40DF01FB" w14:textId="1E28D2B9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96F81">
              <w:rPr>
                <w:rFonts w:asciiTheme="majorHAnsi" w:hAnsiTheme="majorHAnsi" w:cstheme="majorHAnsi"/>
                <w:b/>
              </w:rPr>
              <w:t>ZNAČAJNE PROMJENE RASHODA:</w:t>
            </w:r>
          </w:p>
          <w:p w14:paraId="2FF674C2" w14:textId="797657EA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96F81">
              <w:rPr>
                <w:rFonts w:asciiTheme="majorHAnsi" w:hAnsiTheme="majorHAnsi" w:cstheme="majorHAnsi"/>
              </w:rPr>
              <w:t>Značajnije promjene pozicija planiranih rashoda u Proračunu daju se u sljedećoj tablici (podaci iskazani u eurima):</w:t>
            </w:r>
          </w:p>
          <w:tbl>
            <w:tblPr>
              <w:tblW w:w="892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842"/>
              <w:gridCol w:w="1553"/>
              <w:gridCol w:w="1559"/>
              <w:gridCol w:w="1701"/>
            </w:tblGrid>
            <w:tr w:rsidR="00596F81" w:rsidRPr="00596F81" w14:paraId="5640240F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E9F9D7" w14:textId="77777777" w:rsidR="00596F81" w:rsidRPr="00596F81" w:rsidRDefault="00596F81" w:rsidP="00596F81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POZICIJA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226BE5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OPIS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921245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PRORAČUN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D3D85B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PROMJENA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1FD520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REBALANS I</w:t>
                  </w:r>
                </w:p>
              </w:tc>
            </w:tr>
            <w:tr w:rsidR="00596F81" w:rsidRPr="00596F81" w14:paraId="4D90FD18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B441F7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R221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539DDD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Zakupnine i najamnine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DBE7F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5E25C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25.000,00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DB13B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65.000,00</w:t>
                  </w:r>
                </w:p>
              </w:tc>
            </w:tr>
            <w:tr w:rsidR="00596F81" w:rsidRPr="00596F81" w14:paraId="7F19818F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4A6DD7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R1375-1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64AF11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 xml:space="preserve">Projekt </w:t>
                  </w:r>
                  <w:proofErr w:type="spellStart"/>
                  <w:r w:rsidRPr="00596F81">
                    <w:rPr>
                      <w:rFonts w:asciiTheme="majorHAnsi" w:hAnsiTheme="majorHAnsi" w:cstheme="majorHAnsi"/>
                      <w:bCs/>
                    </w:rPr>
                    <w:t>Citymove</w:t>
                  </w:r>
                  <w:proofErr w:type="spellEnd"/>
                  <w:r w:rsidRPr="00596F81">
                    <w:rPr>
                      <w:rFonts w:asciiTheme="majorHAnsi" w:hAnsiTheme="majorHAnsi" w:cstheme="majorHAnsi"/>
                      <w:bCs/>
                    </w:rPr>
                    <w:t xml:space="preserve"> – Ostale usluge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9CF07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62.000,00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C22EDE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-22.000,00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8CDD7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40.000,00</w:t>
                  </w:r>
                </w:p>
              </w:tc>
            </w:tr>
            <w:tr w:rsidR="00596F81" w:rsidRPr="00596F81" w14:paraId="5C8A14CD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8C4EE7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R198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BBA272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Ostale usluge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53E7E6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135.000,00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F43F6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30BB3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165.000,00</w:t>
                  </w:r>
                </w:p>
              </w:tc>
            </w:tr>
            <w:tr w:rsidR="00596F81" w:rsidRPr="00596F81" w14:paraId="7AC7B3C9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4CD9AF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R121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47E6E9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Sredstva za Dan grada, blagdane i spomendane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727EC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120.000,00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76046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70.000,00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95115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190.000,00</w:t>
                  </w:r>
                </w:p>
              </w:tc>
            </w:tr>
            <w:tr w:rsidR="00596F81" w:rsidRPr="00596F81" w14:paraId="73D042D4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491D27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lastRenderedPageBreak/>
                    <w:t>R1378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F05A2D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Ostali nespomenuti rashodi poslovanja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C0579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ED6DF6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A046F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70.000,00</w:t>
                  </w:r>
                </w:p>
              </w:tc>
            </w:tr>
            <w:tr w:rsidR="00596F81" w:rsidRPr="00596F81" w14:paraId="2810B5F4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A0C6F0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R1148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FCABD9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Sufinanciranje upravnog odjela Zadarske županije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59625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1DD05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16.000,00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CF3AD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36.000,00</w:t>
                  </w:r>
                </w:p>
              </w:tc>
            </w:tr>
            <w:tr w:rsidR="00596F81" w:rsidRPr="00596F81" w14:paraId="3C704823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210A70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R127-7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9A3864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Ostale naknade – jednokratna novčana pomoć obiteljima s 5 djece i više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7215A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B6039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-20.000,00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B4496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40.000,00</w:t>
                  </w:r>
                </w:p>
              </w:tc>
            </w:tr>
            <w:tr w:rsidR="00596F81" w:rsidRPr="00596F81" w14:paraId="5F9F3836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8C3324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R1398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92D069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Sufinanciranje dopunskog zdravstvenog osiguranja osobama starije životne dobi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5207F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075A1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-80.000,00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178D9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</w:tr>
            <w:tr w:rsidR="00596F81" w:rsidRPr="00596F81" w14:paraId="13E3F02E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3C5A76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R1109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6761D1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Športska zajednica grada Biograd na Moru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207FFE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DB10D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229CB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350.000,00</w:t>
                  </w:r>
                </w:p>
              </w:tc>
            </w:tr>
            <w:tr w:rsidR="00596F81" w:rsidRPr="00596F81" w14:paraId="25185D8E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81CF4E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R1310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FABED3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596F81">
                    <w:rPr>
                      <w:rFonts w:asciiTheme="majorHAnsi" w:hAnsiTheme="majorHAnsi" w:cstheme="majorHAnsi"/>
                      <w:bCs/>
                    </w:rPr>
                    <w:t>Jankolovica</w:t>
                  </w:r>
                  <w:proofErr w:type="spellEnd"/>
                  <w:r w:rsidRPr="00596F81">
                    <w:rPr>
                      <w:rFonts w:asciiTheme="majorHAnsi" w:hAnsiTheme="majorHAnsi" w:cstheme="majorHAnsi"/>
                      <w:bCs/>
                    </w:rPr>
                    <w:t xml:space="preserve"> d.o.o.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77762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FD67CE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83F9F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80.000,00</w:t>
                  </w:r>
                </w:p>
              </w:tc>
            </w:tr>
            <w:tr w:rsidR="00596F81" w:rsidRPr="00596F81" w14:paraId="712E3F6D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C9E39C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R1311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2D950B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 xml:space="preserve">Agencija za lokalni razvoj </w:t>
                  </w:r>
                  <w:proofErr w:type="spellStart"/>
                  <w:r w:rsidRPr="00596F81">
                    <w:rPr>
                      <w:rFonts w:asciiTheme="majorHAnsi" w:hAnsiTheme="majorHAnsi" w:cstheme="majorHAnsi"/>
                      <w:bCs/>
                    </w:rPr>
                    <w:t>Sidraga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BB716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FA7547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70.000,00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71FE1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120.000,00</w:t>
                  </w:r>
                </w:p>
              </w:tc>
            </w:tr>
            <w:tr w:rsidR="00596F81" w:rsidRPr="00596F81" w14:paraId="2CB202F9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42ED6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R1312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C5937E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 xml:space="preserve">Turistička razvojna agencija </w:t>
                  </w:r>
                  <w:proofErr w:type="spellStart"/>
                  <w:r w:rsidRPr="00596F81">
                    <w:rPr>
                      <w:rFonts w:asciiTheme="majorHAnsi" w:hAnsiTheme="majorHAnsi" w:cstheme="majorHAnsi"/>
                      <w:bCs/>
                    </w:rPr>
                    <w:t>Gnalić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B83B1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C0A86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09E56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70.000,00</w:t>
                  </w:r>
                </w:p>
              </w:tc>
            </w:tr>
            <w:tr w:rsidR="00596F81" w:rsidRPr="00596F81" w14:paraId="3FD882AB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28D589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R1313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94C2C2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Iskorak novi poduzetnički centar d.o.o.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006C1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3F592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70.000,00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4B892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150.000,00</w:t>
                  </w:r>
                </w:p>
              </w:tc>
            </w:tr>
            <w:tr w:rsidR="00596F81" w:rsidRPr="00596F81" w14:paraId="44DCCCFA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199F47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R160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0059BC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DVD Biograd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7F4D5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66.000,00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C7372E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9CD67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81.000,00</w:t>
                  </w:r>
                </w:p>
              </w:tc>
            </w:tr>
            <w:tr w:rsidR="00596F81" w:rsidRPr="00596F81" w14:paraId="681314B5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B077AC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R1224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EBEE0E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Rekonstrukcija i dogradnja dječjeg vrtića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18707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A070B6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-600.000,00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10AEE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400.000,00</w:t>
                  </w:r>
                </w:p>
              </w:tc>
            </w:tr>
            <w:tr w:rsidR="00596F81" w:rsidRPr="00596F81" w14:paraId="79FFD45B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0E4B74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R1339-3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7189F8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Interpretacijski centar Blago potopljenog Broda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C6A6F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5.530.618,68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01251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-2.530.000,00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F8632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3.000.618,68</w:t>
                  </w:r>
                </w:p>
              </w:tc>
            </w:tr>
            <w:tr w:rsidR="00596F81" w:rsidRPr="00596F81" w14:paraId="0D34F318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82B26C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R1204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03D3BE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Izgradnja tenis centra Kosa zapad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DEF93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400.000,00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0A861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-184.000,00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C82B6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216.000,00</w:t>
                  </w:r>
                </w:p>
              </w:tc>
            </w:tr>
            <w:tr w:rsidR="00596F81" w:rsidRPr="00596F81" w14:paraId="63DE5D4E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5EA4CE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R1232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E53872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Rekonstrukcija javne rasvjete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B33D7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48CB3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93.500,00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A94C3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95.000,00</w:t>
                  </w:r>
                </w:p>
              </w:tc>
            </w:tr>
            <w:tr w:rsidR="00596F81" w:rsidRPr="00596F81" w14:paraId="246E580B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AE6C80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R1265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854B4F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Sanacija krova – Nova tržnica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A6E34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68E80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17.500,00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99AC2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20.000,00</w:t>
                  </w:r>
                </w:p>
              </w:tc>
            </w:tr>
            <w:tr w:rsidR="00596F81" w:rsidRPr="00596F81" w14:paraId="777A3D17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346BD9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R1346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1A331B" w14:textId="02A5028A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Razvoj zelene infrast</w:t>
                  </w:r>
                  <w:r>
                    <w:rPr>
                      <w:rFonts w:asciiTheme="majorHAnsi" w:hAnsiTheme="majorHAnsi" w:cstheme="majorHAnsi"/>
                      <w:bCs/>
                    </w:rPr>
                    <w:t>r</w:t>
                  </w:r>
                  <w:r w:rsidRPr="00596F81">
                    <w:rPr>
                      <w:rFonts w:asciiTheme="majorHAnsi" w:hAnsiTheme="majorHAnsi" w:cstheme="majorHAnsi"/>
                      <w:bCs/>
                    </w:rPr>
                    <w:t>ukture na području grada Biograda na Moru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27736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82A257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-37.615,65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9AA35E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262.384,35</w:t>
                  </w:r>
                </w:p>
              </w:tc>
            </w:tr>
            <w:tr w:rsidR="00596F81" w:rsidRPr="00596F81" w14:paraId="3CC305A2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868395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R1346-1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72B814" w14:textId="0F5F1C23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bookmarkStart w:id="1" w:name="_Hlk232404394"/>
                  <w:r w:rsidRPr="00596F81">
                    <w:rPr>
                      <w:rFonts w:asciiTheme="majorHAnsi" w:hAnsiTheme="majorHAnsi" w:cstheme="majorHAnsi"/>
                      <w:bCs/>
                    </w:rPr>
                    <w:t>Razvoj zelene infrast</w:t>
                  </w:r>
                  <w:r>
                    <w:rPr>
                      <w:rFonts w:asciiTheme="majorHAnsi" w:hAnsiTheme="majorHAnsi" w:cstheme="majorHAnsi"/>
                      <w:bCs/>
                    </w:rPr>
                    <w:t>r</w:t>
                  </w:r>
                  <w:r w:rsidRPr="00596F81">
                    <w:rPr>
                      <w:rFonts w:asciiTheme="majorHAnsi" w:hAnsiTheme="majorHAnsi" w:cstheme="majorHAnsi"/>
                      <w:bCs/>
                    </w:rPr>
                    <w:t>ukture na području grada Biograda na Moru</w:t>
                  </w:r>
                  <w:bookmarkEnd w:id="1"/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0CC60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15268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-1.850.000,00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74B14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150.000,00</w:t>
                  </w:r>
                </w:p>
              </w:tc>
            </w:tr>
            <w:tr w:rsidR="00596F81" w:rsidRPr="00596F81" w14:paraId="2650FB68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BBDAD7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R1346-2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C72C6A" w14:textId="1CB74F5E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Razvoj zelene infrast</w:t>
                  </w:r>
                  <w:r>
                    <w:rPr>
                      <w:rFonts w:asciiTheme="majorHAnsi" w:hAnsiTheme="majorHAnsi" w:cstheme="majorHAnsi"/>
                      <w:bCs/>
                    </w:rPr>
                    <w:t>r</w:t>
                  </w:r>
                  <w:r w:rsidRPr="00596F81">
                    <w:rPr>
                      <w:rFonts w:asciiTheme="majorHAnsi" w:hAnsiTheme="majorHAnsi" w:cstheme="majorHAnsi"/>
                      <w:bCs/>
                    </w:rPr>
                    <w:t>ukture na području grada Biograda na Moru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FFD53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A2AE36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4.587.615,65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023FA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4.587.615,65</w:t>
                  </w:r>
                </w:p>
              </w:tc>
            </w:tr>
            <w:tr w:rsidR="00596F81" w:rsidRPr="00596F81" w14:paraId="5D91B32A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C9836D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R1367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C39A61" w14:textId="3F6C7D13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Projekt krajobraznog uređenja zelene pov</w:t>
                  </w:r>
                  <w:r>
                    <w:rPr>
                      <w:rFonts w:asciiTheme="majorHAnsi" w:hAnsiTheme="majorHAnsi" w:cstheme="majorHAnsi"/>
                      <w:bCs/>
                    </w:rPr>
                    <w:t>r</w:t>
                  </w:r>
                  <w:r w:rsidRPr="00596F81">
                    <w:rPr>
                      <w:rFonts w:asciiTheme="majorHAnsi" w:hAnsiTheme="majorHAnsi" w:cstheme="majorHAnsi"/>
                      <w:bCs/>
                    </w:rPr>
                    <w:t>šine Kosa zapad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06546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320.000,00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E0D31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-239.782,00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0F649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80.218,00</w:t>
                  </w:r>
                </w:p>
              </w:tc>
            </w:tr>
            <w:tr w:rsidR="00596F81" w:rsidRPr="00596F81" w14:paraId="06DB8F51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933DB5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R1367-1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B30E5C" w14:textId="40071705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Projekt krajobraznog uređenja zelene pov</w:t>
                  </w:r>
                  <w:r>
                    <w:rPr>
                      <w:rFonts w:asciiTheme="majorHAnsi" w:hAnsiTheme="majorHAnsi" w:cstheme="majorHAnsi"/>
                      <w:bCs/>
                    </w:rPr>
                    <w:t>r</w:t>
                  </w:r>
                  <w:r w:rsidRPr="00596F81">
                    <w:rPr>
                      <w:rFonts w:asciiTheme="majorHAnsi" w:hAnsiTheme="majorHAnsi" w:cstheme="majorHAnsi"/>
                      <w:bCs/>
                    </w:rPr>
                    <w:t>šine Kosa zapad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3AD5C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293FB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269.782,00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7F11D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269.782,00</w:t>
                  </w:r>
                </w:p>
              </w:tc>
            </w:tr>
            <w:tr w:rsidR="00596F81" w:rsidRPr="00596F81" w14:paraId="603463D4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15CABA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R1402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0F132B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 xml:space="preserve">Sanacija lučice Bolnički </w:t>
                  </w:r>
                  <w:proofErr w:type="spellStart"/>
                  <w:r w:rsidRPr="00596F81">
                    <w:rPr>
                      <w:rFonts w:asciiTheme="majorHAnsi" w:hAnsiTheme="majorHAnsi" w:cstheme="majorHAnsi"/>
                      <w:bCs/>
                    </w:rPr>
                    <w:t>mul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5F2B0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03175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140.000,00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A35659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340.000,00</w:t>
                  </w:r>
                </w:p>
              </w:tc>
            </w:tr>
            <w:tr w:rsidR="00596F81" w:rsidRPr="00596F81" w14:paraId="1E21F53B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E6B181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R1372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347483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 xml:space="preserve">Projekt </w:t>
                  </w:r>
                  <w:proofErr w:type="spellStart"/>
                  <w:r w:rsidRPr="00596F81">
                    <w:rPr>
                      <w:rFonts w:asciiTheme="majorHAnsi" w:hAnsiTheme="majorHAnsi" w:cstheme="majorHAnsi"/>
                      <w:bCs/>
                    </w:rPr>
                    <w:t>Citymove</w:t>
                  </w:r>
                  <w:proofErr w:type="spellEnd"/>
                  <w:r w:rsidRPr="00596F81">
                    <w:rPr>
                      <w:rFonts w:asciiTheme="majorHAnsi" w:hAnsiTheme="majorHAnsi" w:cstheme="majorHAnsi"/>
                      <w:bCs/>
                    </w:rPr>
                    <w:t xml:space="preserve"> – Sustav naplate parkinga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66867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41DBB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-15.000,00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9632A6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15.000,00</w:t>
                  </w:r>
                </w:p>
              </w:tc>
            </w:tr>
            <w:tr w:rsidR="00596F81" w:rsidRPr="00596F81" w14:paraId="109AC5FC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C993B4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R1372-1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342DDE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 xml:space="preserve">Projekt </w:t>
                  </w:r>
                  <w:proofErr w:type="spellStart"/>
                  <w:r w:rsidRPr="00596F81">
                    <w:rPr>
                      <w:rFonts w:asciiTheme="majorHAnsi" w:hAnsiTheme="majorHAnsi" w:cstheme="majorHAnsi"/>
                      <w:bCs/>
                    </w:rPr>
                    <w:t>Citymove</w:t>
                  </w:r>
                  <w:proofErr w:type="spellEnd"/>
                  <w:r w:rsidRPr="00596F81">
                    <w:rPr>
                      <w:rFonts w:asciiTheme="majorHAnsi" w:hAnsiTheme="majorHAnsi" w:cstheme="majorHAnsi"/>
                      <w:bCs/>
                    </w:rPr>
                    <w:t xml:space="preserve"> – Sustav naplate parkinga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D0707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170.000,00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76943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-170.000,00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21C54C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</w:tr>
            <w:tr w:rsidR="00596F81" w:rsidRPr="00596F81" w14:paraId="2444D006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AA1211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lastRenderedPageBreak/>
                    <w:t>R1389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83CE86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Izrada i postavljanje kamenih klupa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96B4E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335.000,00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A80EE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-200.000,00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50010A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135.000,00</w:t>
                  </w:r>
                </w:p>
              </w:tc>
            </w:tr>
            <w:tr w:rsidR="00596F81" w:rsidRPr="00596F81" w14:paraId="2B2B2908" w14:textId="77777777" w:rsidTr="00596F81">
              <w:trPr>
                <w:trHeight w:val="417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ED4586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R1416</w:t>
                  </w:r>
                </w:p>
              </w:tc>
              <w:tc>
                <w:tcPr>
                  <w:tcW w:w="2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913397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Knjige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75294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BC972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35.000,00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FE91C5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35.000,00</w:t>
                  </w:r>
                </w:p>
              </w:tc>
            </w:tr>
          </w:tbl>
          <w:p w14:paraId="31D1D220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</w:rPr>
            </w:pPr>
          </w:p>
          <w:p w14:paraId="5976F4A2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</w:rPr>
            </w:pPr>
            <w:r w:rsidRPr="00596F81">
              <w:rPr>
                <w:rFonts w:asciiTheme="majorHAnsi" w:eastAsiaTheme="minorHAnsi" w:hAnsiTheme="majorHAnsi" w:cstheme="majorHAnsi"/>
              </w:rPr>
              <w:t>Što se tiče rashoda u I. izmjenama i dopunama proračuna Grada Biograda na Moru, najveće promjene su na sljedećim pozicijama:</w:t>
            </w:r>
          </w:p>
          <w:p w14:paraId="4393D0FB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573B7EEA" w14:textId="0244C1A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96F81">
              <w:rPr>
                <w:rFonts w:asciiTheme="majorHAnsi" w:eastAsiaTheme="minorHAnsi" w:hAnsiTheme="majorHAnsi" w:cstheme="majorHAnsi"/>
                <w:b/>
                <w:bCs/>
                <w:i/>
                <w:iCs/>
              </w:rPr>
              <w:t xml:space="preserve">Pozicija R1339-3 </w:t>
            </w:r>
            <w:r w:rsidRPr="00596F81">
              <w:rPr>
                <w:rFonts w:asciiTheme="majorHAnsi" w:eastAsiaTheme="minorHAnsi" w:hAnsiTheme="majorHAnsi" w:cstheme="majorHAnsi"/>
              </w:rPr>
              <w:t xml:space="preserve">- </w:t>
            </w:r>
            <w:r w:rsidRPr="00596F81">
              <w:rPr>
                <w:rFonts w:asciiTheme="majorHAnsi" w:hAnsiTheme="majorHAnsi" w:cstheme="majorHAnsi"/>
                <w:b/>
                <w:i/>
                <w:iCs/>
              </w:rPr>
              <w:t>Interpretacijski centar Blago potopljenog Broda</w:t>
            </w:r>
            <w:r w:rsidRPr="00596F81">
              <w:rPr>
                <w:rFonts w:asciiTheme="majorHAnsi" w:hAnsiTheme="majorHAnsi" w:cstheme="majorHAnsi"/>
                <w:bCs/>
              </w:rPr>
              <w:t xml:space="preserve"> smanjen iznos zbog usklađenja sa provedbom projekta.</w:t>
            </w:r>
          </w:p>
          <w:p w14:paraId="05C512B9" w14:textId="22C5C730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96F81">
              <w:rPr>
                <w:rFonts w:asciiTheme="majorHAnsi" w:eastAsiaTheme="minorHAnsi" w:hAnsiTheme="majorHAnsi" w:cstheme="majorHAnsi"/>
                <w:b/>
                <w:bCs/>
                <w:i/>
                <w:iCs/>
              </w:rPr>
              <w:t xml:space="preserve">Pozicija R1346 </w:t>
            </w:r>
            <w:r w:rsidRPr="00596F81">
              <w:rPr>
                <w:rFonts w:asciiTheme="majorHAnsi" w:eastAsiaTheme="minorHAnsi" w:hAnsiTheme="majorHAnsi" w:cstheme="majorHAnsi"/>
              </w:rPr>
              <w:t xml:space="preserve">- </w:t>
            </w:r>
            <w:r w:rsidRPr="00596F81">
              <w:rPr>
                <w:rFonts w:asciiTheme="majorHAnsi" w:hAnsiTheme="majorHAnsi" w:cstheme="majorHAnsi"/>
                <w:b/>
                <w:i/>
                <w:iCs/>
              </w:rPr>
              <w:t>Razvoj zelene infrast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>r</w:t>
            </w:r>
            <w:r w:rsidRPr="00596F81">
              <w:rPr>
                <w:rFonts w:asciiTheme="majorHAnsi" w:hAnsiTheme="majorHAnsi" w:cstheme="majorHAnsi"/>
                <w:b/>
                <w:i/>
                <w:iCs/>
              </w:rPr>
              <w:t>ukture na području grada Biograda na Moru</w:t>
            </w:r>
            <w:r w:rsidRPr="00596F81">
              <w:rPr>
                <w:rFonts w:asciiTheme="majorHAnsi" w:hAnsiTheme="majorHAnsi" w:cstheme="majorHAnsi"/>
                <w:bCs/>
              </w:rPr>
              <w:t xml:space="preserve"> smanjenje pozicije radi usklađenja izvora financiranja.</w:t>
            </w:r>
          </w:p>
          <w:p w14:paraId="6A5126DC" w14:textId="187733AA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96F81">
              <w:rPr>
                <w:rFonts w:asciiTheme="majorHAnsi" w:eastAsiaTheme="minorHAnsi" w:hAnsiTheme="majorHAnsi" w:cstheme="majorHAnsi"/>
                <w:b/>
                <w:bCs/>
                <w:i/>
                <w:iCs/>
              </w:rPr>
              <w:t xml:space="preserve">Pozicija R1346-1 </w:t>
            </w:r>
            <w:r w:rsidRPr="00596F81">
              <w:rPr>
                <w:rFonts w:asciiTheme="majorHAnsi" w:eastAsiaTheme="minorHAnsi" w:hAnsiTheme="majorHAnsi" w:cstheme="majorHAnsi"/>
              </w:rPr>
              <w:t xml:space="preserve">- </w:t>
            </w:r>
            <w:r w:rsidRPr="00596F81">
              <w:rPr>
                <w:rFonts w:asciiTheme="majorHAnsi" w:hAnsiTheme="majorHAnsi" w:cstheme="majorHAnsi"/>
                <w:b/>
                <w:i/>
                <w:iCs/>
              </w:rPr>
              <w:t>Razvoj zelene infrast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>r</w:t>
            </w:r>
            <w:r w:rsidRPr="00596F81">
              <w:rPr>
                <w:rFonts w:asciiTheme="majorHAnsi" w:hAnsiTheme="majorHAnsi" w:cstheme="majorHAnsi"/>
                <w:b/>
                <w:i/>
                <w:iCs/>
              </w:rPr>
              <w:t>ukture na području grada Biograda na Moru</w:t>
            </w:r>
            <w:r w:rsidRPr="00596F81">
              <w:rPr>
                <w:rFonts w:asciiTheme="majorHAnsi" w:hAnsiTheme="majorHAnsi" w:cstheme="majorHAnsi"/>
                <w:bCs/>
              </w:rPr>
              <w:t xml:space="preserve"> smanjenje pozicije radi usklađenja izvora financiranja.</w:t>
            </w:r>
          </w:p>
          <w:p w14:paraId="07FDE676" w14:textId="3005C638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96F81">
              <w:rPr>
                <w:rFonts w:asciiTheme="majorHAnsi" w:eastAsiaTheme="minorHAnsi" w:hAnsiTheme="majorHAnsi" w:cstheme="majorHAnsi"/>
                <w:b/>
                <w:bCs/>
                <w:i/>
                <w:iCs/>
              </w:rPr>
              <w:t xml:space="preserve">Pozicija R1346-2 </w:t>
            </w:r>
            <w:r w:rsidRPr="00596F81">
              <w:rPr>
                <w:rFonts w:asciiTheme="majorHAnsi" w:eastAsiaTheme="minorHAnsi" w:hAnsiTheme="majorHAnsi" w:cstheme="majorHAnsi"/>
              </w:rPr>
              <w:t xml:space="preserve">- </w:t>
            </w:r>
            <w:r w:rsidRPr="00596F81">
              <w:rPr>
                <w:rFonts w:asciiTheme="majorHAnsi" w:hAnsiTheme="majorHAnsi" w:cstheme="majorHAnsi"/>
                <w:b/>
                <w:i/>
                <w:iCs/>
              </w:rPr>
              <w:t>Razvoj zelene infrast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>r</w:t>
            </w:r>
            <w:r w:rsidRPr="00596F81">
              <w:rPr>
                <w:rFonts w:asciiTheme="majorHAnsi" w:hAnsiTheme="majorHAnsi" w:cstheme="majorHAnsi"/>
                <w:b/>
                <w:i/>
                <w:iCs/>
              </w:rPr>
              <w:t>ukture na području grada Biograda na Moru</w:t>
            </w:r>
            <w:r w:rsidRPr="00596F81">
              <w:rPr>
                <w:rFonts w:asciiTheme="majorHAnsi" w:hAnsiTheme="majorHAnsi" w:cstheme="majorHAnsi"/>
                <w:bCs/>
              </w:rPr>
              <w:t xml:space="preserve"> odnosi na ukupne troškove projekta te će Grad Biograd na Moru za navedeni iznos nabaviti dugoročni kredit za financiranje radova</w:t>
            </w:r>
          </w:p>
          <w:p w14:paraId="483C4FA5" w14:textId="6892146E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bookmarkStart w:id="2" w:name="_Hlk232404761"/>
            <w:r w:rsidRPr="00596F81">
              <w:rPr>
                <w:rFonts w:asciiTheme="majorHAnsi" w:eastAsiaTheme="minorHAnsi" w:hAnsiTheme="majorHAnsi" w:cstheme="majorHAnsi"/>
                <w:b/>
                <w:bCs/>
                <w:i/>
                <w:iCs/>
              </w:rPr>
              <w:t xml:space="preserve">Pozicija R1367 </w:t>
            </w:r>
            <w:r w:rsidRPr="00596F81">
              <w:rPr>
                <w:rFonts w:asciiTheme="majorHAnsi" w:eastAsiaTheme="minorHAnsi" w:hAnsiTheme="majorHAnsi" w:cstheme="majorHAnsi"/>
              </w:rPr>
              <w:t xml:space="preserve">- </w:t>
            </w:r>
            <w:r w:rsidRPr="00596F81">
              <w:rPr>
                <w:rFonts w:asciiTheme="majorHAnsi" w:hAnsiTheme="majorHAnsi" w:cstheme="majorHAnsi"/>
                <w:b/>
                <w:i/>
                <w:iCs/>
              </w:rPr>
              <w:t>Projekt krajobraznog uređenja zelene pov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>r</w:t>
            </w:r>
            <w:r w:rsidRPr="00596F81">
              <w:rPr>
                <w:rFonts w:asciiTheme="majorHAnsi" w:hAnsiTheme="majorHAnsi" w:cstheme="majorHAnsi"/>
                <w:b/>
                <w:i/>
                <w:iCs/>
              </w:rPr>
              <w:t>šine Kosa zapad</w:t>
            </w:r>
            <w:r w:rsidRPr="00596F81">
              <w:rPr>
                <w:rFonts w:asciiTheme="majorHAnsi" w:hAnsiTheme="majorHAnsi" w:cstheme="majorHAnsi"/>
                <w:bCs/>
              </w:rPr>
              <w:t xml:space="preserve"> smanjenje pozicije radi usklađenja izvora financiranja.</w:t>
            </w:r>
            <w:bookmarkEnd w:id="2"/>
          </w:p>
          <w:p w14:paraId="39CBFE47" w14:textId="35A72DA3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96F81">
              <w:rPr>
                <w:rFonts w:asciiTheme="majorHAnsi" w:eastAsiaTheme="minorHAnsi" w:hAnsiTheme="majorHAnsi" w:cstheme="majorHAnsi"/>
                <w:b/>
                <w:bCs/>
                <w:i/>
                <w:iCs/>
              </w:rPr>
              <w:t xml:space="preserve">Pozicija R1367-1 </w:t>
            </w:r>
            <w:r w:rsidRPr="00596F81">
              <w:rPr>
                <w:rFonts w:asciiTheme="majorHAnsi" w:eastAsiaTheme="minorHAnsi" w:hAnsiTheme="majorHAnsi" w:cstheme="majorHAnsi"/>
              </w:rPr>
              <w:t xml:space="preserve">- </w:t>
            </w:r>
            <w:r w:rsidRPr="00596F81">
              <w:rPr>
                <w:rFonts w:asciiTheme="majorHAnsi" w:hAnsiTheme="majorHAnsi" w:cstheme="majorHAnsi"/>
                <w:b/>
                <w:i/>
                <w:iCs/>
              </w:rPr>
              <w:t>Projekt krajobraznog uređenja zelene pov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>r</w:t>
            </w:r>
            <w:r w:rsidRPr="00596F81">
              <w:rPr>
                <w:rFonts w:asciiTheme="majorHAnsi" w:hAnsiTheme="majorHAnsi" w:cstheme="majorHAnsi"/>
                <w:b/>
                <w:i/>
                <w:iCs/>
              </w:rPr>
              <w:t>šine Kosa zapad</w:t>
            </w:r>
            <w:r w:rsidRPr="00596F81">
              <w:rPr>
                <w:rFonts w:asciiTheme="majorHAnsi" w:hAnsiTheme="majorHAnsi" w:cstheme="majorHAnsi"/>
                <w:bCs/>
              </w:rPr>
              <w:t xml:space="preserve"> otvorena nova pozicija zbog izvora financiranja, odnosno Fond za zaštitu okoliša i energetsku učinkovitost će sufinancirati navedeni projekt u iznosu od 269.781,55 eura.</w:t>
            </w:r>
          </w:p>
          <w:p w14:paraId="6C84742D" w14:textId="698EA812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</w:rPr>
            </w:pPr>
            <w:r w:rsidRPr="00596F81">
              <w:rPr>
                <w:rFonts w:asciiTheme="majorHAnsi" w:eastAsiaTheme="minorHAnsi" w:hAnsiTheme="majorHAnsi" w:cstheme="majorHAnsi"/>
                <w:b/>
                <w:bCs/>
                <w:i/>
                <w:iCs/>
              </w:rPr>
              <w:t>Pozicija 1372-1</w:t>
            </w:r>
            <w:r w:rsidRPr="00596F81">
              <w:rPr>
                <w:rFonts w:asciiTheme="majorHAnsi" w:eastAsiaTheme="minorHAnsi" w:hAnsiTheme="majorHAnsi" w:cstheme="majorHAnsi"/>
              </w:rPr>
              <w:t xml:space="preserve"> – </w:t>
            </w:r>
            <w:r w:rsidRPr="00596F81">
              <w:rPr>
                <w:rFonts w:asciiTheme="majorHAnsi" w:hAnsiTheme="majorHAnsi" w:cstheme="majorHAnsi"/>
                <w:b/>
                <w:i/>
                <w:iCs/>
              </w:rPr>
              <w:t xml:space="preserve">Projekt </w:t>
            </w:r>
            <w:proofErr w:type="spellStart"/>
            <w:r w:rsidRPr="00596F81">
              <w:rPr>
                <w:rFonts w:asciiTheme="majorHAnsi" w:hAnsiTheme="majorHAnsi" w:cstheme="majorHAnsi"/>
                <w:b/>
                <w:i/>
                <w:iCs/>
              </w:rPr>
              <w:t>Citymove</w:t>
            </w:r>
            <w:proofErr w:type="spellEnd"/>
            <w:r w:rsidRPr="00596F81">
              <w:rPr>
                <w:rFonts w:asciiTheme="majorHAnsi" w:hAnsiTheme="majorHAnsi" w:cstheme="majorHAnsi"/>
                <w:b/>
                <w:i/>
                <w:iCs/>
              </w:rPr>
              <w:t xml:space="preserve"> – Sustav naplate parkinga</w:t>
            </w:r>
            <w:r w:rsidRPr="00596F81">
              <w:rPr>
                <w:rFonts w:asciiTheme="majorHAnsi" w:eastAsiaTheme="minorHAnsi" w:hAnsiTheme="majorHAnsi" w:cstheme="majorHAnsi"/>
              </w:rPr>
              <w:t xml:space="preserve"> – smanjenje pozicije zato što je realizacija ostvarena u 2025. godini.</w:t>
            </w:r>
          </w:p>
          <w:p w14:paraId="3069DD02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D14CA8A" w14:textId="20D29CEC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96F81">
              <w:rPr>
                <w:rFonts w:asciiTheme="majorHAnsi" w:hAnsiTheme="majorHAnsi" w:cstheme="majorHAnsi"/>
                <w:b/>
                <w:bCs/>
              </w:rPr>
              <w:t>NOVE POZICIJE RASHODA:</w:t>
            </w:r>
          </w:p>
          <w:tbl>
            <w:tblPr>
              <w:tblW w:w="873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2938"/>
              <w:gridCol w:w="1387"/>
              <w:gridCol w:w="1380"/>
              <w:gridCol w:w="1611"/>
            </w:tblGrid>
            <w:tr w:rsidR="00596F81" w:rsidRPr="00596F81" w14:paraId="54A44E5A" w14:textId="77777777" w:rsidTr="00596F81">
              <w:trPr>
                <w:trHeight w:val="417"/>
                <w:jc w:val="center"/>
              </w:trPr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AB0B3D" w14:textId="77777777" w:rsidR="00596F81" w:rsidRPr="00596F81" w:rsidRDefault="00596F81" w:rsidP="00596F81">
                  <w:pPr>
                    <w:spacing w:after="0" w:line="240" w:lineRule="auto"/>
                    <w:jc w:val="both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POZICIJA</w:t>
                  </w:r>
                </w:p>
              </w:tc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DB0DC9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OPIS</w:t>
                  </w:r>
                </w:p>
              </w:tc>
              <w:tc>
                <w:tcPr>
                  <w:tcW w:w="1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AC9DB4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PRORAČUN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2AD962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PROMJENA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E25A06" w14:textId="77777777" w:rsidR="00596F81" w:rsidRPr="00596F81" w:rsidRDefault="00596F81" w:rsidP="00596F8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96F81">
                    <w:rPr>
                      <w:rFonts w:asciiTheme="majorHAnsi" w:hAnsiTheme="majorHAnsi" w:cstheme="majorHAnsi"/>
                      <w:b/>
                    </w:rPr>
                    <w:t>REBALANS I</w:t>
                  </w:r>
                </w:p>
              </w:tc>
            </w:tr>
            <w:tr w:rsidR="00596F81" w:rsidRPr="00596F81" w14:paraId="6A89F136" w14:textId="77777777" w:rsidTr="00596F81">
              <w:trPr>
                <w:trHeight w:val="417"/>
                <w:jc w:val="center"/>
              </w:trPr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E5EB90C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R1417</w:t>
                  </w:r>
                </w:p>
              </w:tc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2EDDFD8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Uklanjanje otpada odbačenog u okoliš</w:t>
                  </w:r>
                </w:p>
              </w:tc>
              <w:tc>
                <w:tcPr>
                  <w:tcW w:w="1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AB13D2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C84F42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154.523,00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396C82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154.523,00</w:t>
                  </w:r>
                </w:p>
              </w:tc>
            </w:tr>
            <w:tr w:rsidR="00596F81" w:rsidRPr="00596F81" w14:paraId="40FB3881" w14:textId="77777777" w:rsidTr="00596F81">
              <w:trPr>
                <w:trHeight w:val="417"/>
                <w:jc w:val="center"/>
              </w:trPr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8F78B6B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R1417-1</w:t>
                  </w:r>
                </w:p>
              </w:tc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BAC69CD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Uklanjanje otpada odbačenog u okoliš</w:t>
                  </w:r>
                </w:p>
              </w:tc>
              <w:tc>
                <w:tcPr>
                  <w:tcW w:w="1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063C6D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ECF4EF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95.477,00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2152A0E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95.477,00</w:t>
                  </w:r>
                </w:p>
              </w:tc>
            </w:tr>
            <w:tr w:rsidR="00596F81" w:rsidRPr="00596F81" w14:paraId="5D7B3169" w14:textId="77777777" w:rsidTr="00596F81">
              <w:trPr>
                <w:trHeight w:val="417"/>
                <w:jc w:val="center"/>
              </w:trPr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0B37B9E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R1418</w:t>
                  </w:r>
                </w:p>
              </w:tc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09A0C35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Integracija hrvatskih povratnika kroz učenja jezika i lokalnu podršku</w:t>
                  </w:r>
                </w:p>
              </w:tc>
              <w:tc>
                <w:tcPr>
                  <w:tcW w:w="1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0D2FC63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9292A9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50.000,00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B54563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50.000,00</w:t>
                  </w:r>
                </w:p>
              </w:tc>
            </w:tr>
            <w:tr w:rsidR="00596F81" w:rsidRPr="00596F81" w14:paraId="79A8634C" w14:textId="77777777" w:rsidTr="00596F81">
              <w:trPr>
                <w:trHeight w:val="417"/>
                <w:jc w:val="center"/>
              </w:trPr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A2373A7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R1418-1</w:t>
                  </w:r>
                </w:p>
              </w:tc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D18C269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Integracija hrvatskih povratnika kroz učenja jezika i lokalnu podršku</w:t>
                  </w:r>
                </w:p>
              </w:tc>
              <w:tc>
                <w:tcPr>
                  <w:tcW w:w="1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9E6E97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A978AB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50.000,00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2B089EE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50.000,00</w:t>
                  </w:r>
                </w:p>
              </w:tc>
            </w:tr>
            <w:tr w:rsidR="00596F81" w:rsidRPr="00596F81" w14:paraId="265F938C" w14:textId="77777777" w:rsidTr="00596F81">
              <w:trPr>
                <w:trHeight w:val="417"/>
                <w:jc w:val="center"/>
              </w:trPr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BF653EB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R1419</w:t>
                  </w:r>
                </w:p>
              </w:tc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3FE3B35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Sanacija gata na plaži Bošana</w:t>
                  </w:r>
                </w:p>
              </w:tc>
              <w:tc>
                <w:tcPr>
                  <w:tcW w:w="1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B323C1F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13918E7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100.000,00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67D0CC4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100.000,00</w:t>
                  </w:r>
                </w:p>
              </w:tc>
            </w:tr>
            <w:tr w:rsidR="00596F81" w:rsidRPr="00596F81" w14:paraId="2959833B" w14:textId="77777777" w:rsidTr="00596F81">
              <w:trPr>
                <w:trHeight w:val="417"/>
                <w:jc w:val="center"/>
              </w:trPr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BAC1B41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R1419-1</w:t>
                  </w:r>
                </w:p>
              </w:tc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49E6BB2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Sanacija gata na plaži Bošana</w:t>
                  </w:r>
                </w:p>
              </w:tc>
              <w:tc>
                <w:tcPr>
                  <w:tcW w:w="1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C9678C2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3A3964D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120.000,00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5C9CA10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120.000,00</w:t>
                  </w:r>
                </w:p>
              </w:tc>
            </w:tr>
            <w:tr w:rsidR="00596F81" w:rsidRPr="00596F81" w14:paraId="4252A221" w14:textId="77777777" w:rsidTr="00596F81">
              <w:trPr>
                <w:trHeight w:val="417"/>
                <w:jc w:val="center"/>
              </w:trPr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A0C49D8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R1419</w:t>
                  </w:r>
                </w:p>
              </w:tc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479D462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Sanacija gata na plaži Bošana</w:t>
                  </w:r>
                </w:p>
              </w:tc>
              <w:tc>
                <w:tcPr>
                  <w:tcW w:w="1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0D5A98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FD5E961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47.710,00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C66E456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47.710,00</w:t>
                  </w:r>
                </w:p>
              </w:tc>
            </w:tr>
            <w:tr w:rsidR="00596F81" w:rsidRPr="00596F81" w14:paraId="25376ACC" w14:textId="77777777" w:rsidTr="00596F81">
              <w:trPr>
                <w:trHeight w:val="417"/>
                <w:jc w:val="center"/>
              </w:trPr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72296FD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R1421</w:t>
                  </w:r>
                </w:p>
              </w:tc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507614C" w14:textId="77777777" w:rsidR="00596F81" w:rsidRPr="00596F81" w:rsidRDefault="00596F81" w:rsidP="00596F81">
                  <w:pPr>
                    <w:spacing w:after="0" w:line="240" w:lineRule="auto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Usluge tekućeg i investicijskog održavanja opreme</w:t>
                  </w:r>
                </w:p>
              </w:tc>
              <w:tc>
                <w:tcPr>
                  <w:tcW w:w="1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72C5DFB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C1E1098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50.000,00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86F69B7" w14:textId="77777777" w:rsidR="00596F81" w:rsidRPr="00596F81" w:rsidRDefault="00596F81" w:rsidP="00596F81">
                  <w:pPr>
                    <w:spacing w:after="0" w:line="240" w:lineRule="auto"/>
                    <w:jc w:val="right"/>
                    <w:rPr>
                      <w:rFonts w:asciiTheme="majorHAnsi" w:hAnsiTheme="majorHAnsi" w:cstheme="majorHAnsi"/>
                      <w:bCs/>
                    </w:rPr>
                  </w:pPr>
                  <w:r w:rsidRPr="00596F81">
                    <w:rPr>
                      <w:rFonts w:asciiTheme="majorHAnsi" w:hAnsiTheme="majorHAnsi" w:cstheme="majorHAnsi"/>
                      <w:bCs/>
                    </w:rPr>
                    <w:t>50.000,00</w:t>
                  </w:r>
                </w:p>
              </w:tc>
            </w:tr>
          </w:tbl>
          <w:p w14:paraId="639B070F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1177E22D" w14:textId="20D88C1A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96F81">
              <w:rPr>
                <w:rFonts w:asciiTheme="majorHAnsi" w:hAnsiTheme="majorHAnsi" w:cstheme="majorHAnsi"/>
                <w:b/>
                <w:bCs/>
              </w:rPr>
              <w:t>PRENESENI VIŠAK ILI PRENESENI MANJAK IZ PRETHODNIH GODINA</w:t>
            </w:r>
          </w:p>
          <w:p w14:paraId="2B6A2A69" w14:textId="5FAD96F0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96F81">
              <w:rPr>
                <w:rFonts w:asciiTheme="majorHAnsi" w:hAnsiTheme="majorHAnsi" w:cstheme="majorHAnsi"/>
              </w:rPr>
              <w:t>Ako ukupni prihodi i primici nisu jednaki ukupnim rashodima i izdacima, proračun jedinica sadrži preneseni višak ili preneseni manjak prihoda nad rashodima.</w:t>
            </w:r>
          </w:p>
          <w:p w14:paraId="22E9D464" w14:textId="21846F8C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96F81">
              <w:rPr>
                <w:rFonts w:asciiTheme="majorHAnsi" w:hAnsiTheme="majorHAnsi" w:cstheme="majorHAnsi"/>
              </w:rPr>
              <w:t xml:space="preserve">Grad Biograd na Moru u proračunu za 2026. godinu planira godinu iznos od 762.054,00 eura namijenjen za pokriće manjka prihoda nad rashodima nastalih u prethodnim godinama od čega se </w:t>
            </w:r>
            <w:r w:rsidRPr="00596F81">
              <w:rPr>
                <w:rFonts w:asciiTheme="majorHAnsi" w:hAnsiTheme="majorHAnsi" w:cstheme="majorHAnsi"/>
              </w:rPr>
              <w:lastRenderedPageBreak/>
              <w:t>711.554,00 eura odnosi na Grad Biograd na Moru, a 50.500,00 eura na Dječji vrtić Ivana Brlić Mažuranić.</w:t>
            </w:r>
          </w:p>
          <w:p w14:paraId="7F85B66C" w14:textId="77777777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67E8598" w14:textId="70B81916" w:rsidR="00596F81" w:rsidRPr="00596F81" w:rsidRDefault="00596F81" w:rsidP="00596F81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96F81">
              <w:rPr>
                <w:rFonts w:asciiTheme="majorHAnsi" w:hAnsiTheme="majorHAnsi" w:cstheme="majorHAnsi"/>
              </w:rPr>
              <w:t>Temeljem iznesenoga, za rashode i izdatke koji će nastati u 2026. godini osigurava se iznos od 61.737.946,00 eura, dok za je pokriće manjka iz prethodnih godina je planiran iznos od 762.054,00 eura.</w:t>
            </w:r>
          </w:p>
          <w:p w14:paraId="64CC8287" w14:textId="77777777" w:rsidR="00596F81" w:rsidRPr="00596F81" w:rsidRDefault="00596F81" w:rsidP="00596F81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C2EF44" w14:textId="6493E9E9" w:rsidR="0079456F" w:rsidRPr="00E27619" w:rsidRDefault="00E27619" w:rsidP="00596F81">
            <w:pPr>
              <w:pStyle w:val="Bezproreda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2761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III</w:t>
            </w:r>
            <w:r w:rsidR="005230D0" w:rsidRPr="00E2761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 PRIJEDLOG ODLUKE</w:t>
            </w:r>
          </w:p>
          <w:p w14:paraId="772674DD" w14:textId="3ACCB6ED" w:rsidR="0079456F" w:rsidRPr="00596F81" w:rsidRDefault="005230D0" w:rsidP="00596F81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596F81" w:rsidRPr="00596F81">
              <w:rPr>
                <w:rFonts w:asciiTheme="majorHAnsi" w:hAnsiTheme="majorHAnsi" w:cstheme="majorHAnsi"/>
                <w:sz w:val="22"/>
                <w:szCs w:val="22"/>
              </w:rPr>
              <w:t>Izmjen</w:t>
            </w:r>
            <w:r w:rsidR="00596F8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596F81"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 i dopun</w:t>
            </w:r>
            <w:r w:rsidR="00596F8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596F81"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 Proračuna Grada Biograda na Moru za 2026. godinu (Rebalans I)</w:t>
            </w:r>
            <w:r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</w:t>
            </w:r>
            <w:r w:rsidR="00925978"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Zaključkom je </w:t>
            </w:r>
            <w:r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utvrdio nacrt </w:t>
            </w:r>
            <w:r w:rsidR="0079456F" w:rsidRPr="00596F81">
              <w:rPr>
                <w:rFonts w:asciiTheme="majorHAnsi" w:hAnsiTheme="majorHAnsi" w:cstheme="majorHAnsi"/>
                <w:sz w:val="22"/>
                <w:szCs w:val="22"/>
              </w:rPr>
              <w:t>Prijedlog</w:t>
            </w:r>
            <w:r w:rsidR="004B53AE" w:rsidRPr="00596F8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79456F"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96F81" w:rsidRPr="00596F81">
              <w:rPr>
                <w:rFonts w:asciiTheme="majorHAnsi" w:hAnsiTheme="majorHAnsi" w:cstheme="majorHAnsi"/>
                <w:sz w:val="22"/>
                <w:szCs w:val="22"/>
              </w:rPr>
              <w:t>Izmjen</w:t>
            </w:r>
            <w:r w:rsidR="00596F8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596F81"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 i dopun</w:t>
            </w:r>
            <w:r w:rsidR="00596F8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596F81"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 Proračuna Grada Biograda na Moru za 2026. godinu (Rebalans I)</w:t>
            </w:r>
            <w:r w:rsidR="007F460B"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96F81">
              <w:rPr>
                <w:rFonts w:asciiTheme="majorHAnsi" w:hAnsiTheme="majorHAnsi" w:cstheme="majorHAnsi"/>
                <w:sz w:val="22"/>
                <w:szCs w:val="22"/>
              </w:rPr>
              <w:t>i isti upućuje na internetsko savjetovanje.</w:t>
            </w:r>
          </w:p>
          <w:p w14:paraId="5B960BDB" w14:textId="77777777" w:rsidR="007F460B" w:rsidRPr="00596F81" w:rsidRDefault="007F460B" w:rsidP="00596F81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1EA526" w14:textId="725AA54F" w:rsidR="00B451B4" w:rsidRPr="00E27619" w:rsidRDefault="00E27619" w:rsidP="00596F81">
            <w:pPr>
              <w:pStyle w:val="Bezproreda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2761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IV</w:t>
            </w:r>
            <w:r w:rsidR="00B451B4" w:rsidRPr="00E2761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 SAVJETOVANJE SA ZAINTERESIRANOM JAVNOŠĆU</w:t>
            </w:r>
          </w:p>
          <w:p w14:paraId="2B9ADE23" w14:textId="61BA0F4C" w:rsidR="00CA0915" w:rsidRPr="00596F81" w:rsidRDefault="00CA0915" w:rsidP="00596F81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596F81" w:rsidRPr="00596F81">
              <w:rPr>
                <w:rFonts w:asciiTheme="majorHAnsi" w:hAnsiTheme="majorHAnsi" w:cstheme="majorHAnsi"/>
                <w:sz w:val="22"/>
                <w:szCs w:val="22"/>
              </w:rPr>
              <w:t>Izmjen</w:t>
            </w:r>
            <w:r w:rsidR="00596F8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596F81"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 i dopun</w:t>
            </w:r>
            <w:r w:rsidR="00596F81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596F81" w:rsidRPr="00596F81">
              <w:rPr>
                <w:rFonts w:asciiTheme="majorHAnsi" w:hAnsiTheme="majorHAnsi" w:cstheme="majorHAnsi"/>
                <w:sz w:val="22"/>
                <w:szCs w:val="22"/>
              </w:rPr>
              <w:t xml:space="preserve"> Proračuna Grada Biograda na Moru za 2026. godinu (Rebalans I)</w:t>
            </w:r>
            <w:r w:rsidR="00596F8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96F81">
              <w:rPr>
                <w:rFonts w:asciiTheme="majorHAnsi" w:hAnsiTheme="majorHAnsi" w:cstheme="majorHAnsi"/>
                <w:sz w:val="22"/>
                <w:szCs w:val="22"/>
              </w:rPr>
              <w:t>upućuje se na internetsko savjetovanje sa zainteresiranom javnošću sukladno odredbama Zakona o pravu na pristup informacijama („Narodne novine“ broj 25/13., 85/15. i 69/22.) i Plana savjetovanja sa javnošću Grada Biograda na Moru za 2026. godinu te njegovim izmjenama i dopunama u trajanju od 30 dana.</w:t>
            </w:r>
          </w:p>
          <w:p w14:paraId="14348CC4" w14:textId="77777777" w:rsidR="0079456F" w:rsidRPr="00596F81" w:rsidRDefault="0079456F" w:rsidP="00596F81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48B7E2" w14:textId="600AAA4F" w:rsidR="00C357AE" w:rsidRPr="00596F81" w:rsidRDefault="00C357AE" w:rsidP="00596F81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96F81"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14:paraId="4B7B4DF7" w14:textId="77777777" w:rsidR="00D7201B" w:rsidRDefault="00D7201B" w:rsidP="00FD67ED">
      <w:pPr>
        <w:spacing w:after="0"/>
        <w:jc w:val="both"/>
        <w:rPr>
          <w:rFonts w:ascii="Calibri Light" w:hAnsi="Calibri Light"/>
        </w:rPr>
      </w:pPr>
    </w:p>
    <w:p w14:paraId="68FCE232" w14:textId="18F7106A"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7F460B">
        <w:rPr>
          <w:rFonts w:ascii="Calibri Light" w:hAnsi="Calibri Light"/>
          <w:b/>
        </w:rPr>
        <w:t>16</w:t>
      </w:r>
      <w:r w:rsidR="001C07D8" w:rsidRPr="00C1045E">
        <w:rPr>
          <w:rFonts w:ascii="Calibri Light" w:hAnsi="Calibri Light"/>
          <w:b/>
        </w:rPr>
        <w:t xml:space="preserve">. </w:t>
      </w:r>
      <w:r w:rsidR="004B53AE">
        <w:rPr>
          <w:rFonts w:ascii="Calibri Light" w:eastAsia="Calibri Light" w:hAnsi="Calibri Light"/>
          <w:b/>
          <w:lang w:eastAsia="hr-HR"/>
        </w:rPr>
        <w:t>sr</w:t>
      </w:r>
      <w:r w:rsidR="005230D0">
        <w:rPr>
          <w:rFonts w:ascii="Calibri Light" w:eastAsia="Calibri Light" w:hAnsi="Calibri Light"/>
          <w:b/>
          <w:lang w:eastAsia="hr-HR"/>
        </w:rPr>
        <w:t>pnja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596F81" w:rsidRPr="00596F81">
        <w:rPr>
          <w:rFonts w:ascii="Calibri Light" w:hAnsi="Calibri Light"/>
          <w:b/>
          <w:szCs w:val="24"/>
        </w:rPr>
        <w:t>Izmjen</w:t>
      </w:r>
      <w:r w:rsidR="00596F81">
        <w:rPr>
          <w:rFonts w:ascii="Calibri Light" w:hAnsi="Calibri Light"/>
          <w:b/>
          <w:szCs w:val="24"/>
        </w:rPr>
        <w:t>a</w:t>
      </w:r>
      <w:r w:rsidR="00596F81" w:rsidRPr="00596F81">
        <w:rPr>
          <w:rFonts w:ascii="Calibri Light" w:hAnsi="Calibri Light"/>
          <w:b/>
          <w:szCs w:val="24"/>
        </w:rPr>
        <w:t xml:space="preserve"> i dopun</w:t>
      </w:r>
      <w:r w:rsidR="00596F81">
        <w:rPr>
          <w:rFonts w:ascii="Calibri Light" w:hAnsi="Calibri Light"/>
          <w:b/>
          <w:szCs w:val="24"/>
        </w:rPr>
        <w:t>a</w:t>
      </w:r>
      <w:r w:rsidR="00596F81" w:rsidRPr="00596F81">
        <w:rPr>
          <w:rFonts w:ascii="Calibri Light" w:hAnsi="Calibri Light"/>
          <w:b/>
          <w:szCs w:val="24"/>
        </w:rPr>
        <w:t xml:space="preserve"> Proračuna Grada Biograda na Moru za 2026. godinu (Rebalans I)</w:t>
      </w:r>
      <w:r w:rsidR="007F460B" w:rsidRPr="007F460B">
        <w:rPr>
          <w:rFonts w:ascii="Calibri Light" w:hAnsi="Calibri Light"/>
          <w:b/>
          <w:szCs w:val="24"/>
        </w:rPr>
        <w:t xml:space="preserve">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13F9" w14:textId="77777777" w:rsidR="00201761" w:rsidRDefault="00201761">
      <w:pPr>
        <w:spacing w:after="0" w:line="240" w:lineRule="auto"/>
      </w:pPr>
      <w:r>
        <w:separator/>
      </w:r>
    </w:p>
  </w:endnote>
  <w:endnote w:type="continuationSeparator" w:id="0">
    <w:p w14:paraId="46F1EB05" w14:textId="77777777" w:rsidR="00201761" w:rsidRDefault="0020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6571" w14:textId="77777777"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14:paraId="1F2B8714" w14:textId="77777777"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3E9DABD" w14:textId="55D65B82"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E27619" w:rsidRPr="00E27619">
      <w:rPr>
        <w:rFonts w:ascii="Calibri Light" w:hAnsi="Calibri Light"/>
        <w:i/>
        <w:color w:val="000000"/>
        <w:sz w:val="20"/>
        <w:szCs w:val="20"/>
      </w:rPr>
      <w:t>Izmjen</w:t>
    </w:r>
    <w:r w:rsidR="00E27619">
      <w:rPr>
        <w:rFonts w:ascii="Calibri Light" w:hAnsi="Calibri Light"/>
        <w:i/>
        <w:color w:val="000000"/>
        <w:sz w:val="20"/>
        <w:szCs w:val="20"/>
      </w:rPr>
      <w:t>a</w:t>
    </w:r>
    <w:r w:rsidR="00E27619" w:rsidRPr="00E27619">
      <w:rPr>
        <w:rFonts w:ascii="Calibri Light" w:hAnsi="Calibri Light"/>
        <w:i/>
        <w:color w:val="000000"/>
        <w:sz w:val="20"/>
        <w:szCs w:val="20"/>
      </w:rPr>
      <w:t xml:space="preserve"> i dopun</w:t>
    </w:r>
    <w:r w:rsidR="00E27619">
      <w:rPr>
        <w:rFonts w:ascii="Calibri Light" w:hAnsi="Calibri Light"/>
        <w:i/>
        <w:color w:val="000000"/>
        <w:sz w:val="20"/>
        <w:szCs w:val="20"/>
      </w:rPr>
      <w:t>a</w:t>
    </w:r>
    <w:r w:rsidR="00E27619" w:rsidRPr="00E27619">
      <w:rPr>
        <w:rFonts w:ascii="Calibri Light" w:hAnsi="Calibri Light"/>
        <w:i/>
        <w:color w:val="000000"/>
        <w:sz w:val="20"/>
        <w:szCs w:val="20"/>
      </w:rPr>
      <w:t xml:space="preserve"> Proračuna Grada Biograda na Moru za 2026. godinu (Rebalans I)</w:t>
    </w:r>
    <w:r w:rsidR="0078181B">
      <w:rPr>
        <w:rFonts w:ascii="Calibri Light" w:hAnsi="Calibri Light"/>
        <w:i/>
        <w:color w:val="000000"/>
        <w:sz w:val="20"/>
        <w:szCs w:val="20"/>
      </w:rPr>
      <w:t>.</w:t>
    </w:r>
  </w:p>
  <w:p w14:paraId="1D7961A6" w14:textId="77777777"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EFE7" w14:textId="77777777" w:rsidR="00201761" w:rsidRDefault="00201761">
      <w:pPr>
        <w:spacing w:after="0" w:line="240" w:lineRule="auto"/>
      </w:pPr>
      <w:r>
        <w:separator/>
      </w:r>
    </w:p>
  </w:footnote>
  <w:footnote w:type="continuationSeparator" w:id="0">
    <w:p w14:paraId="769D8BFB" w14:textId="77777777" w:rsidR="00201761" w:rsidRDefault="00201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76D"/>
    <w:multiLevelType w:val="hybridMultilevel"/>
    <w:tmpl w:val="A09AA81E"/>
    <w:lvl w:ilvl="0" w:tplc="E4F8B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E15"/>
    <w:multiLevelType w:val="hybridMultilevel"/>
    <w:tmpl w:val="500A003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F29"/>
    <w:multiLevelType w:val="hybridMultilevel"/>
    <w:tmpl w:val="00CCDAD6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64FED"/>
    <w:multiLevelType w:val="hybridMultilevel"/>
    <w:tmpl w:val="172AFBB2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A9F"/>
    <w:multiLevelType w:val="hybridMultilevel"/>
    <w:tmpl w:val="5990565C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62F3"/>
    <w:multiLevelType w:val="multilevel"/>
    <w:tmpl w:val="5CEC3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32E5136"/>
    <w:multiLevelType w:val="hybridMultilevel"/>
    <w:tmpl w:val="92A2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73EF"/>
    <w:multiLevelType w:val="hybridMultilevel"/>
    <w:tmpl w:val="4F62B8E2"/>
    <w:lvl w:ilvl="0" w:tplc="247C1E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DD2"/>
    <w:multiLevelType w:val="hybridMultilevel"/>
    <w:tmpl w:val="2F1A44FE"/>
    <w:lvl w:ilvl="0" w:tplc="98847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54F4"/>
    <w:multiLevelType w:val="hybridMultilevel"/>
    <w:tmpl w:val="9C9A324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B4C1F"/>
    <w:multiLevelType w:val="hybridMultilevel"/>
    <w:tmpl w:val="2FDC87CE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023A3"/>
    <w:multiLevelType w:val="hybridMultilevel"/>
    <w:tmpl w:val="A93AC18A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B5A83"/>
    <w:multiLevelType w:val="hybridMultilevel"/>
    <w:tmpl w:val="51CE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154E7"/>
    <w:multiLevelType w:val="hybridMultilevel"/>
    <w:tmpl w:val="7474208E"/>
    <w:lvl w:ilvl="0" w:tplc="1FDE1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57AB7"/>
    <w:multiLevelType w:val="hybridMultilevel"/>
    <w:tmpl w:val="66F6888C"/>
    <w:lvl w:ilvl="0" w:tplc="53DEB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40B06"/>
    <w:multiLevelType w:val="hybridMultilevel"/>
    <w:tmpl w:val="51E8C27A"/>
    <w:lvl w:ilvl="0" w:tplc="7D5E03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1694">
    <w:abstractNumId w:val="11"/>
  </w:num>
  <w:num w:numId="2" w16cid:durableId="642005653">
    <w:abstractNumId w:val="1"/>
  </w:num>
  <w:num w:numId="3" w16cid:durableId="440879055">
    <w:abstractNumId w:val="4"/>
  </w:num>
  <w:num w:numId="4" w16cid:durableId="1228496323">
    <w:abstractNumId w:val="15"/>
  </w:num>
  <w:num w:numId="5" w16cid:durableId="345256548">
    <w:abstractNumId w:val="0"/>
  </w:num>
  <w:num w:numId="6" w16cid:durableId="1753967994">
    <w:abstractNumId w:val="9"/>
  </w:num>
  <w:num w:numId="7" w16cid:durableId="190076593">
    <w:abstractNumId w:val="3"/>
  </w:num>
  <w:num w:numId="8" w16cid:durableId="261838680">
    <w:abstractNumId w:val="7"/>
  </w:num>
  <w:num w:numId="9" w16cid:durableId="1345742728">
    <w:abstractNumId w:val="13"/>
  </w:num>
  <w:num w:numId="10" w16cid:durableId="332995255">
    <w:abstractNumId w:val="2"/>
  </w:num>
  <w:num w:numId="11" w16cid:durableId="888877269">
    <w:abstractNumId w:val="14"/>
  </w:num>
  <w:num w:numId="12" w16cid:durableId="2110152201">
    <w:abstractNumId w:val="10"/>
  </w:num>
  <w:num w:numId="13" w16cid:durableId="358549918">
    <w:abstractNumId w:val="6"/>
  </w:num>
  <w:num w:numId="14" w16cid:durableId="202782291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271505">
    <w:abstractNumId w:val="12"/>
  </w:num>
  <w:num w:numId="16" w16cid:durableId="178155953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12C3F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0BA"/>
    <w:rsid w:val="000C66A5"/>
    <w:rsid w:val="000C6ABD"/>
    <w:rsid w:val="000D67F8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E2A7F"/>
    <w:rsid w:val="001F18EF"/>
    <w:rsid w:val="001F5296"/>
    <w:rsid w:val="001F7509"/>
    <w:rsid w:val="00201761"/>
    <w:rsid w:val="00214A2C"/>
    <w:rsid w:val="002202A6"/>
    <w:rsid w:val="00221A2B"/>
    <w:rsid w:val="002402B9"/>
    <w:rsid w:val="002477AC"/>
    <w:rsid w:val="0025207C"/>
    <w:rsid w:val="00262508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4007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B53AE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07249"/>
    <w:rsid w:val="00514DC7"/>
    <w:rsid w:val="005230D0"/>
    <w:rsid w:val="005328C3"/>
    <w:rsid w:val="00542BCE"/>
    <w:rsid w:val="005610FB"/>
    <w:rsid w:val="00561143"/>
    <w:rsid w:val="005945EE"/>
    <w:rsid w:val="00596F81"/>
    <w:rsid w:val="005C6FA0"/>
    <w:rsid w:val="005D5276"/>
    <w:rsid w:val="005D61B5"/>
    <w:rsid w:val="005E112D"/>
    <w:rsid w:val="005F217B"/>
    <w:rsid w:val="00606FAE"/>
    <w:rsid w:val="00615F47"/>
    <w:rsid w:val="00617042"/>
    <w:rsid w:val="00625DC7"/>
    <w:rsid w:val="00640530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160CB"/>
    <w:rsid w:val="00721FFB"/>
    <w:rsid w:val="00724B24"/>
    <w:rsid w:val="007252B9"/>
    <w:rsid w:val="00730D80"/>
    <w:rsid w:val="00733143"/>
    <w:rsid w:val="00735418"/>
    <w:rsid w:val="00744758"/>
    <w:rsid w:val="00761CB2"/>
    <w:rsid w:val="0076240B"/>
    <w:rsid w:val="00772196"/>
    <w:rsid w:val="0078181B"/>
    <w:rsid w:val="007822AD"/>
    <w:rsid w:val="00782E2A"/>
    <w:rsid w:val="007852A4"/>
    <w:rsid w:val="0079456F"/>
    <w:rsid w:val="00795523"/>
    <w:rsid w:val="007C074F"/>
    <w:rsid w:val="007C7024"/>
    <w:rsid w:val="007D29E1"/>
    <w:rsid w:val="007D4951"/>
    <w:rsid w:val="007E405F"/>
    <w:rsid w:val="007F19F0"/>
    <w:rsid w:val="007F460B"/>
    <w:rsid w:val="007F4ABE"/>
    <w:rsid w:val="00814E08"/>
    <w:rsid w:val="0082059A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109C0"/>
    <w:rsid w:val="00925404"/>
    <w:rsid w:val="00925978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23B32"/>
    <w:rsid w:val="00A4207C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A0915"/>
    <w:rsid w:val="00CB1975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201B"/>
    <w:rsid w:val="00D74777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E62EB"/>
    <w:rsid w:val="00DF116B"/>
    <w:rsid w:val="00DF1EBD"/>
    <w:rsid w:val="00DF609B"/>
    <w:rsid w:val="00DF6ACC"/>
    <w:rsid w:val="00E1577B"/>
    <w:rsid w:val="00E23107"/>
    <w:rsid w:val="00E27619"/>
    <w:rsid w:val="00E36F60"/>
    <w:rsid w:val="00E41009"/>
    <w:rsid w:val="00E50418"/>
    <w:rsid w:val="00E709E0"/>
    <w:rsid w:val="00E71977"/>
    <w:rsid w:val="00E7632C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4AB2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E3E7-67E5-4F30-A0A4-A5FA2DB5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7</Pages>
  <Words>2414</Words>
  <Characters>13761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16143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Hrvoje Raspović</cp:lastModifiedBy>
  <cp:revision>38</cp:revision>
  <cp:lastPrinted>2026-06-09T08:28:00Z</cp:lastPrinted>
  <dcterms:created xsi:type="dcterms:W3CDTF">2024-04-25T12:22:00Z</dcterms:created>
  <dcterms:modified xsi:type="dcterms:W3CDTF">2026-06-16T12:33:00Z</dcterms:modified>
</cp:coreProperties>
</file>