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69635281" w14:textId="342A23D7" w:rsidR="005328C3" w:rsidRPr="005328C3" w:rsidRDefault="004B53AE" w:rsidP="004B53AE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4B53AE">
              <w:rPr>
                <w:rFonts w:asciiTheme="majorHAnsi" w:hAnsiTheme="majorHAnsi" w:cstheme="majorHAnsi"/>
                <w:b/>
              </w:rPr>
              <w:t xml:space="preserve">Odluke </w:t>
            </w:r>
            <w:r w:rsidR="007F460B" w:rsidRPr="007F460B">
              <w:rPr>
                <w:rFonts w:asciiTheme="majorHAnsi" w:hAnsiTheme="majorHAnsi" w:cstheme="majorHAnsi"/>
                <w:b/>
              </w:rPr>
              <w:t>o dopuni Odluke o izvršavanju proračuna Grada Biograda na Moru za 2026. godinu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5EE4A912" w:rsidR="005328C3" w:rsidRPr="00C1045E" w:rsidRDefault="007F460B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16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lipnja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5270EEF0" w:rsidR="005328C3" w:rsidRPr="00C1045E" w:rsidRDefault="007F460B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srpnja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6407C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I. PRAVNA OSNOVA ZA DONOŠENJE ODLUKE</w:t>
            </w:r>
          </w:p>
          <w:p w14:paraId="42D4B8C7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Člankom 18. Zakona o proračunu ("Narodne novine" broj 144/21) određeno je da se uz proračun donosi i odluka o izvršavanju proračuna,  te je propisano što navedena odluka sadrži.</w:t>
            </w:r>
          </w:p>
          <w:p w14:paraId="75C17B10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Na temelju članka 10. točka 3. Pravilnika o postupku zaduživanja te davanja jamstva i suglasnosti jedinica lokalne i područne (regionalne) samouprave ("Narodne novine" br. 55/09., 139/10., 144/21.), prilikom podnošenja zahtjeva za dobivanje suglasnosti za kreditno zaduženje, u Odluci o izvršavanju Proračuna moraju biti navedeni podatci o zaduživanju u proračunskoj godini, kao i očekivani dug na kraju godine.</w:t>
            </w:r>
          </w:p>
          <w:p w14:paraId="284669ED" w14:textId="77777777" w:rsid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Na temelju članka 121. Zakona o proračunu ("Narodne novine, broj 144/21) jedinica lokalne i područne (regionalne) samouprave može se zadužiti za investiciju koja se financira iz njezina proračuna, ali godišnje obveze mogu iznositi najviše do 20% ostvarenih prihoda u godini koja prethodi godini u kojoj se zadužuje, umanjeni za prihode:</w:t>
            </w:r>
          </w:p>
          <w:p w14:paraId="14864B98" w14:textId="77777777" w:rsidR="007F460B" w:rsidRDefault="007F460B" w:rsidP="007F460B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od pomoći iz inozemstva i od subjekata unutar općeg proračuna te donacija i</w:t>
            </w:r>
          </w:p>
          <w:p w14:paraId="30FB7AB3" w14:textId="6DE3D0D8" w:rsidR="007F460B" w:rsidRDefault="007F460B" w:rsidP="007F460B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s osnove dodatnih udjela u porezu na dohodak za financiranje decentraliziranih funkcija.</w:t>
            </w:r>
          </w:p>
          <w:p w14:paraId="5BE2123D" w14:textId="77777777" w:rsidR="00262508" w:rsidRPr="00262508" w:rsidRDefault="00262508" w:rsidP="00262508">
            <w:pPr>
              <w:pStyle w:val="Bezproreda"/>
              <w:ind w:left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9EF101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Odredbe ovoga članka ne odnose se na iznos zaduživanja jedinice lokalne i područne (regionalne) samouprave do iznosa ukupno prihvatljivog troška projekata koji se sufinanciraju iz fondova Europske unije te na zaduživanje jedinice lokalne i područne (regionalne) samouprave za investicije iz područja unapređenja energetske učinkovitosti.</w:t>
            </w:r>
          </w:p>
          <w:p w14:paraId="7E90943E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940969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II.PRIKAZ STANJA I PROMJENE</w:t>
            </w:r>
          </w:p>
          <w:p w14:paraId="4939B06D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Odluka o izvršavanju proračuna normativni je akt koji uređuje određena pravila u tijeku izvršenja proračuna Grada Biograda na Moru. Odluka o izvršavanju proračuna za 2026. godinu, donesena je na 28. sjednici Gradskog vijeća Grada Biograda na Moru održanoj 22. prosinca 2025. godine (Službeni glasnik Grada Biograda na Moru, 11/25.).</w:t>
            </w:r>
          </w:p>
          <w:p w14:paraId="453210AD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Grad Biograd na Moru u 2026. godini planira dugoročno zaduženje u iznosu do 4.600.000,00 eura za projekt "Razvoj zelene infrastrukture na području grada Biograda na Moru".</w:t>
            </w:r>
          </w:p>
          <w:p w14:paraId="2CB696D7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Da bi se omogućilo podizanje kredita, bilo je potrebno izmijeniti Odluku o izvršavanju proračuna Grada Biograda na Moru za 2026. godinu.</w:t>
            </w:r>
          </w:p>
          <w:p w14:paraId="73C56F59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4DA0D7" w14:textId="77777777" w:rsidR="007F460B" w:rsidRPr="007F460B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III.FINANCIJSKA SREDSTVA POTREBNA ZA PROVEDBU OVE ODLUKE</w:t>
            </w:r>
          </w:p>
          <w:p w14:paraId="2F4BDC64" w14:textId="0C52A52C" w:rsidR="00262508" w:rsidRDefault="007F460B" w:rsidP="007F4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460B">
              <w:rPr>
                <w:rFonts w:asciiTheme="majorHAnsi" w:hAnsiTheme="majorHAnsi" w:cstheme="majorHAnsi"/>
                <w:sz w:val="22"/>
                <w:szCs w:val="22"/>
              </w:rPr>
              <w:t>U Proračunu Grada Biograda na Moru za 2026. godinu već su planirana sredstva za projekt "Razvoj zelene infrastrukture na području grada Biograda na Moru".</w:t>
            </w:r>
          </w:p>
          <w:p w14:paraId="16C2EF44" w14:textId="5441B1A3" w:rsidR="0079456F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</w:t>
            </w:r>
            <w:r w:rsidR="007F460B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 PRIJEDLOG ODLUKE</w:t>
            </w:r>
          </w:p>
          <w:p w14:paraId="772674DD" w14:textId="19A3B753" w:rsidR="0079456F" w:rsidRDefault="005230D0" w:rsidP="004B53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4B53AE" w:rsidRPr="004B53AE">
              <w:rPr>
                <w:rFonts w:asciiTheme="majorHAnsi" w:hAnsiTheme="majorHAnsi" w:cstheme="majorHAnsi"/>
                <w:sz w:val="22"/>
                <w:szCs w:val="22"/>
              </w:rPr>
              <w:t xml:space="preserve">Odluke </w:t>
            </w:r>
            <w:r w:rsidR="007F460B" w:rsidRPr="007F460B">
              <w:rPr>
                <w:rFonts w:asciiTheme="majorHAnsi" w:hAnsiTheme="majorHAnsi" w:cstheme="majorHAnsi"/>
                <w:sz w:val="22"/>
                <w:szCs w:val="22"/>
              </w:rPr>
              <w:t>o dopuni Odluke o izvršavanju proračuna Grada Biograda na Moru za 2026. godinu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</w:t>
            </w:r>
            <w:r w:rsidR="00925978">
              <w:rPr>
                <w:rFonts w:asciiTheme="majorHAnsi" w:hAnsiTheme="majorHAnsi" w:cstheme="majorHAnsi"/>
                <w:sz w:val="22"/>
                <w:szCs w:val="22"/>
              </w:rPr>
              <w:t xml:space="preserve">Zaključkom je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utvrdio nacrt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>Prijedlog</w:t>
            </w:r>
            <w:r w:rsidR="004B53AE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B53AE" w:rsidRPr="004B53AE">
              <w:rPr>
                <w:rFonts w:asciiTheme="majorHAnsi" w:hAnsiTheme="majorHAnsi" w:cstheme="majorHAnsi"/>
                <w:sz w:val="22"/>
                <w:szCs w:val="22"/>
              </w:rPr>
              <w:t xml:space="preserve">Odluke </w:t>
            </w:r>
            <w:r w:rsidR="007F460B" w:rsidRPr="007F460B">
              <w:rPr>
                <w:rFonts w:asciiTheme="majorHAnsi" w:hAnsiTheme="majorHAnsi" w:cstheme="majorHAnsi"/>
                <w:sz w:val="22"/>
                <w:szCs w:val="22"/>
              </w:rPr>
              <w:t xml:space="preserve">o dopuni Odluke o izvršavanju proračuna Grada Biograda na Moru za 2026. godinu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5B960BDB" w14:textId="77777777" w:rsidR="007F460B" w:rsidRDefault="007F460B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1EA526" w14:textId="352B5CDB" w:rsidR="00B451B4" w:rsidRPr="00D16EA3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00B451B4" w:rsidRPr="00D16EA3">
              <w:rPr>
                <w:rFonts w:asciiTheme="majorHAnsi" w:hAnsiTheme="majorHAnsi" w:cstheme="majorHAnsi"/>
                <w:sz w:val="22"/>
                <w:szCs w:val="22"/>
              </w:rPr>
              <w:t>. SAVJETOVANJE SA ZAINTERESIRANOM JAVNOŠĆU</w:t>
            </w:r>
          </w:p>
          <w:p w14:paraId="2B9ADE23" w14:textId="140D2C16"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262508" w:rsidRPr="00262508">
              <w:rPr>
                <w:rFonts w:asciiTheme="majorHAnsi" w:hAnsiTheme="majorHAnsi" w:cstheme="majorHAnsi"/>
                <w:sz w:val="22"/>
                <w:szCs w:val="22"/>
              </w:rPr>
              <w:t xml:space="preserve">o dopuni Odluke o izvršavanju proračuna Grada Biograda na Moru za 2026. godinu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14348CC4" w14:textId="77777777" w:rsidR="0079456F" w:rsidRDefault="0079456F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600AAA4F"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79D6009A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7F460B">
        <w:rPr>
          <w:rFonts w:ascii="Calibri Light" w:hAnsi="Calibri Light"/>
          <w:b/>
        </w:rPr>
        <w:t>16</w:t>
      </w:r>
      <w:r w:rsidR="001C07D8" w:rsidRPr="00C1045E">
        <w:rPr>
          <w:rFonts w:ascii="Calibri Light" w:hAnsi="Calibri Light"/>
          <w:b/>
        </w:rPr>
        <w:t xml:space="preserve">. </w:t>
      </w:r>
      <w:r w:rsidR="004B53AE">
        <w:rPr>
          <w:rFonts w:ascii="Calibri Light" w:eastAsia="Calibri Light" w:hAnsi="Calibri Light"/>
          <w:b/>
          <w:lang w:eastAsia="hr-HR"/>
        </w:rPr>
        <w:t>sr</w:t>
      </w:r>
      <w:r w:rsidR="005230D0">
        <w:rPr>
          <w:rFonts w:ascii="Calibri Light" w:eastAsia="Calibri Light" w:hAnsi="Calibri Light"/>
          <w:b/>
          <w:lang w:eastAsia="hr-HR"/>
        </w:rPr>
        <w:t>pnja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4B53AE" w:rsidRPr="004B53AE">
        <w:rPr>
          <w:rFonts w:ascii="Calibri Light" w:hAnsi="Calibri Light"/>
          <w:b/>
          <w:szCs w:val="24"/>
        </w:rPr>
        <w:t xml:space="preserve">Odluke </w:t>
      </w:r>
      <w:r w:rsidR="007F460B" w:rsidRPr="007F460B">
        <w:rPr>
          <w:rFonts w:ascii="Calibri Light" w:hAnsi="Calibri Light"/>
          <w:b/>
          <w:szCs w:val="24"/>
        </w:rPr>
        <w:t xml:space="preserve">o dopuni Odluke o izvršavanju proračuna Grada Biograda na Moru za 2026. godinu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E643" w14:textId="77777777" w:rsidR="00A4207C" w:rsidRDefault="00A4207C">
      <w:pPr>
        <w:spacing w:after="0" w:line="240" w:lineRule="auto"/>
      </w:pPr>
      <w:r>
        <w:separator/>
      </w:r>
    </w:p>
  </w:endnote>
  <w:endnote w:type="continuationSeparator" w:id="0">
    <w:p w14:paraId="07ACE78F" w14:textId="77777777" w:rsidR="00A4207C" w:rsidRDefault="00A4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73272219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4B53AE" w:rsidRPr="004B53AE">
      <w:rPr>
        <w:rFonts w:ascii="Calibri Light" w:hAnsi="Calibri Light"/>
        <w:i/>
        <w:color w:val="000000"/>
        <w:sz w:val="20"/>
        <w:szCs w:val="20"/>
      </w:rPr>
      <w:t>Odluke</w:t>
    </w:r>
    <w:r w:rsidR="007F460B" w:rsidRPr="007F460B">
      <w:t xml:space="preserve"> </w:t>
    </w:r>
    <w:r w:rsidR="007F460B" w:rsidRPr="007F460B">
      <w:rPr>
        <w:rFonts w:ascii="Calibri Light" w:hAnsi="Calibri Light"/>
        <w:i/>
        <w:color w:val="000000"/>
        <w:sz w:val="20"/>
        <w:szCs w:val="20"/>
      </w:rPr>
      <w:t>o dopuni Odluke o izvršavanju proračuna Grada Biograda na Moru za 2026. godinu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1F2C" w14:textId="77777777" w:rsidR="00A4207C" w:rsidRDefault="00A4207C">
      <w:pPr>
        <w:spacing w:after="0" w:line="240" w:lineRule="auto"/>
      </w:pPr>
      <w:r>
        <w:separator/>
      </w:r>
    </w:p>
  </w:footnote>
  <w:footnote w:type="continuationSeparator" w:id="0">
    <w:p w14:paraId="1C3A4D9A" w14:textId="77777777" w:rsidR="00A4207C" w:rsidRDefault="00A4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F29"/>
    <w:multiLevelType w:val="hybridMultilevel"/>
    <w:tmpl w:val="00CCDAD6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5136"/>
    <w:multiLevelType w:val="hybridMultilevel"/>
    <w:tmpl w:val="92A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73EF"/>
    <w:multiLevelType w:val="hybridMultilevel"/>
    <w:tmpl w:val="4F62B8E2"/>
    <w:lvl w:ilvl="0" w:tplc="247C1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B4C1F"/>
    <w:multiLevelType w:val="hybridMultilevel"/>
    <w:tmpl w:val="2FDC87CE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154E7"/>
    <w:multiLevelType w:val="hybridMultilevel"/>
    <w:tmpl w:val="7474208E"/>
    <w:lvl w:ilvl="0" w:tplc="1F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AB7"/>
    <w:multiLevelType w:val="hybridMultilevel"/>
    <w:tmpl w:val="66F6888C"/>
    <w:lvl w:ilvl="0" w:tplc="53DE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9"/>
  </w:num>
  <w:num w:numId="2" w16cid:durableId="642005653">
    <w:abstractNumId w:val="1"/>
  </w:num>
  <w:num w:numId="3" w16cid:durableId="440879055">
    <w:abstractNumId w:val="4"/>
  </w:num>
  <w:num w:numId="4" w16cid:durableId="1228496323">
    <w:abstractNumId w:val="12"/>
  </w:num>
  <w:num w:numId="5" w16cid:durableId="345256548">
    <w:abstractNumId w:val="0"/>
  </w:num>
  <w:num w:numId="6" w16cid:durableId="1753967994">
    <w:abstractNumId w:val="7"/>
  </w:num>
  <w:num w:numId="7" w16cid:durableId="190076593">
    <w:abstractNumId w:val="3"/>
  </w:num>
  <w:num w:numId="8" w16cid:durableId="261838680">
    <w:abstractNumId w:val="6"/>
  </w:num>
  <w:num w:numId="9" w16cid:durableId="1345742728">
    <w:abstractNumId w:val="10"/>
  </w:num>
  <w:num w:numId="10" w16cid:durableId="332995255">
    <w:abstractNumId w:val="2"/>
  </w:num>
  <w:num w:numId="11" w16cid:durableId="888877269">
    <w:abstractNumId w:val="11"/>
  </w:num>
  <w:num w:numId="12" w16cid:durableId="2110152201">
    <w:abstractNumId w:val="8"/>
  </w:num>
  <w:num w:numId="13" w16cid:durableId="35854991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67F8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2508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4007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B53AE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230D0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252B9"/>
    <w:rsid w:val="00730D80"/>
    <w:rsid w:val="00733143"/>
    <w:rsid w:val="00735418"/>
    <w:rsid w:val="00744758"/>
    <w:rsid w:val="00761CB2"/>
    <w:rsid w:val="0076240B"/>
    <w:rsid w:val="00772196"/>
    <w:rsid w:val="0078181B"/>
    <w:rsid w:val="007822AD"/>
    <w:rsid w:val="00782E2A"/>
    <w:rsid w:val="007852A4"/>
    <w:rsid w:val="0079456F"/>
    <w:rsid w:val="00795523"/>
    <w:rsid w:val="007C074F"/>
    <w:rsid w:val="007C7024"/>
    <w:rsid w:val="007D29E1"/>
    <w:rsid w:val="007D4951"/>
    <w:rsid w:val="007E405F"/>
    <w:rsid w:val="007F19F0"/>
    <w:rsid w:val="007F460B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109C0"/>
    <w:rsid w:val="00925404"/>
    <w:rsid w:val="00925978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23B32"/>
    <w:rsid w:val="00A4207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09B"/>
    <w:rsid w:val="00DF6ACC"/>
    <w:rsid w:val="00E1577B"/>
    <w:rsid w:val="00E23107"/>
    <w:rsid w:val="00E36F60"/>
    <w:rsid w:val="00E41009"/>
    <w:rsid w:val="00E50418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4124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37</cp:revision>
  <cp:lastPrinted>2026-06-09T08:28:00Z</cp:lastPrinted>
  <dcterms:created xsi:type="dcterms:W3CDTF">2024-04-25T12:22:00Z</dcterms:created>
  <dcterms:modified xsi:type="dcterms:W3CDTF">2026-06-16T12:15:00Z</dcterms:modified>
</cp:coreProperties>
</file>