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69635281" w14:textId="3FC89F10" w:rsidR="005328C3" w:rsidRPr="005328C3" w:rsidRDefault="001E24D3" w:rsidP="00D7201B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1E24D3">
              <w:rPr>
                <w:rFonts w:asciiTheme="majorHAnsi" w:hAnsiTheme="majorHAnsi" w:cstheme="majorHAnsi"/>
                <w:b/>
              </w:rPr>
              <w:t>Odluke o izmjeni Odluke o uređenju prometa na području Grada Biograda na Moru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5400209B" w:rsidR="005328C3" w:rsidRPr="00C1045E" w:rsidRDefault="001456C4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18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svibnja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20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1D10D0C5" w:rsidR="005328C3" w:rsidRPr="00C1045E" w:rsidRDefault="001456C4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17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lipnja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F9326" w14:textId="1CDEB130" w:rsidR="0079456F" w:rsidRPr="0079456F" w:rsidRDefault="0079456F" w:rsidP="0079456F">
            <w:pPr>
              <w:pStyle w:val="NoSpacing"/>
              <w:numPr>
                <w:ilvl w:val="0"/>
                <w:numId w:val="11"/>
              </w:numPr>
              <w:ind w:left="164" w:hanging="15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</w:p>
          <w:p w14:paraId="5A8CB372" w14:textId="2D3A43FC" w:rsidR="001E24D3" w:rsidRPr="001E24D3" w:rsidRDefault="001E24D3" w:rsidP="001E24D3">
            <w:pPr>
              <w:pStyle w:val="NoSpacing"/>
              <w:numPr>
                <w:ilvl w:val="0"/>
                <w:numId w:val="13"/>
              </w:numPr>
              <w:tabs>
                <w:tab w:val="left" w:pos="1014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E24D3">
              <w:rPr>
                <w:rFonts w:asciiTheme="majorHAnsi" w:hAnsiTheme="majorHAnsi" w:cstheme="majorHAnsi"/>
                <w:sz w:val="22"/>
                <w:szCs w:val="22"/>
              </w:rPr>
              <w:t>članak 5. stavak 1. Zakona o sigurnosti prometa na cestama („Narodne novine“, br. 67/08., 48/10. – Odluka USRH, 74/11., 80/13., 158/13., 92/14., 64/15., 108/17., 70/19., 42/20., 85/22., 114/22., 133/23. i 145/24.),</w:t>
            </w:r>
          </w:p>
          <w:p w14:paraId="0DB3F9BD" w14:textId="3652AAE8" w:rsidR="0079456F" w:rsidRPr="0079456F" w:rsidRDefault="001E24D3" w:rsidP="001E24D3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E24D3">
              <w:rPr>
                <w:rFonts w:asciiTheme="majorHAnsi" w:hAnsiTheme="majorHAnsi" w:cstheme="majorHAnsi"/>
                <w:sz w:val="22"/>
                <w:szCs w:val="22"/>
              </w:rPr>
              <w:t xml:space="preserve">članak 31. stavak 1. točka 3. Statuta Grada Biograda na Moru ("Službeni glasnik Grada Biograda na Moru“, br. 8/22.). </w:t>
            </w:r>
          </w:p>
          <w:p w14:paraId="02DFCD31" w14:textId="77777777" w:rsidR="001E24D3" w:rsidRDefault="001E24D3" w:rsidP="0079456F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A2D004" w14:textId="2F4EF37D" w:rsidR="0079456F" w:rsidRDefault="0079456F" w:rsidP="0079456F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II.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9456F">
              <w:rPr>
                <w:rFonts w:asciiTheme="majorHAnsi" w:hAnsiTheme="majorHAnsi" w:cstheme="majorHAnsi"/>
                <w:sz w:val="22"/>
                <w:szCs w:val="22"/>
              </w:rPr>
              <w:t>PRIKAZ STANJA I PROMJENE</w:t>
            </w:r>
          </w:p>
          <w:p w14:paraId="6BAD9149" w14:textId="71E6AC0D" w:rsidR="001E24D3" w:rsidRPr="001E24D3" w:rsidRDefault="001E24D3" w:rsidP="001E24D3">
            <w:pPr>
              <w:pStyle w:val="NoSpacing"/>
              <w:jc w:val="both"/>
              <w:rPr>
                <w:sz w:val="22"/>
                <w:szCs w:val="22"/>
              </w:rPr>
            </w:pPr>
            <w:r w:rsidRPr="001E24D3">
              <w:rPr>
                <w:sz w:val="22"/>
                <w:szCs w:val="22"/>
              </w:rPr>
              <w:t>U trenutno važećoj Odluci o uređenju prometa na području Grada Biograda na Moru („Službeni glasnik Grada Biograda na Moru“, br. 4/08., 5/11., 3/12., 8/19., 6/23. i 4/25.) u članku 8. stavku 1. točki b) alineji prvoj, propisana je povremena zabrana prometa za područje od zgrade „Biosfera“ dalje ulicom Trga kralja Tomislava do ispred dvorišnog ulaza u hotel „Kornat“ te od spomenika „Tisućugodišnjice hrvatskog kraljevstva“ dalje Obalom kralja Petra Krešimira IV. do spomenika „Obalcu“, u vremenu od 19,00 – 24,00 sata za razdoblje od 20. lipnja</w:t>
            </w:r>
            <w:r>
              <w:rPr>
                <w:sz w:val="22"/>
                <w:szCs w:val="22"/>
              </w:rPr>
              <w:t xml:space="preserve"> – 31. kolovoza tekuće godine. </w:t>
            </w:r>
          </w:p>
          <w:p w14:paraId="5BA9B82A" w14:textId="332B13E2" w:rsidR="001E24D3" w:rsidRPr="001E24D3" w:rsidRDefault="001E24D3" w:rsidP="001E24D3">
            <w:pPr>
              <w:pStyle w:val="NoSpacing"/>
              <w:jc w:val="both"/>
              <w:rPr>
                <w:sz w:val="22"/>
                <w:szCs w:val="22"/>
              </w:rPr>
            </w:pPr>
            <w:r w:rsidRPr="001E24D3">
              <w:rPr>
                <w:sz w:val="22"/>
                <w:szCs w:val="22"/>
              </w:rPr>
              <w:t>Ovim prijedlogom izmjene Odluke predlaže se zatvaranje prometa na rivi u vremenu od 19,00 – 24,00 sata, u razdoblju od 5. lipnja – 15. rujna tekuće godine, na isti način kako je to uređeno u II. zoni naplate (Soline, Dražica). Uzimajući u obzir da su već postavljeni novi aparati za potrebe uvođenja novog sustava naplate parkiranja u 0. zoni, kao i prateće rampe na tri lokacije, te nesporno produženje turističke sezone u Gradu Biogradu na Moru i održavanje raznih manifestacija tijekom turističke sezone, predlaže se izmjena Odluke</w:t>
            </w:r>
            <w:r>
              <w:rPr>
                <w:sz w:val="22"/>
                <w:szCs w:val="22"/>
              </w:rPr>
              <w:t xml:space="preserve"> kako je prethodno predloženo. </w:t>
            </w:r>
          </w:p>
          <w:p w14:paraId="5DFAF3AF" w14:textId="562DAE57" w:rsidR="0079456F" w:rsidRDefault="001E24D3" w:rsidP="001456C4">
            <w:pPr>
              <w:pStyle w:val="NoSpacing"/>
              <w:jc w:val="both"/>
              <w:rPr>
                <w:sz w:val="22"/>
                <w:szCs w:val="22"/>
              </w:rPr>
            </w:pPr>
            <w:r w:rsidRPr="001E24D3">
              <w:rPr>
                <w:sz w:val="22"/>
                <w:szCs w:val="22"/>
              </w:rPr>
              <w:t>S obzirom da se predmetna Odluka donosi uz prethodnu suglasnost ministarstva nadležnog za unutarnje poslove, ista će nadležnom ministarstvu biti dostavljena radi dobivanja potrebne suglasnosti nakon provedbe javnog savjetovanj</w:t>
            </w:r>
            <w:r>
              <w:rPr>
                <w:sz w:val="22"/>
                <w:szCs w:val="22"/>
              </w:rPr>
              <w:t>a sa zainteresiranom javnošću.</w:t>
            </w:r>
          </w:p>
          <w:p w14:paraId="30ECA97C" w14:textId="77777777" w:rsidR="001456C4" w:rsidRDefault="001456C4" w:rsidP="001456C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C2EF44" w14:textId="616C609D" w:rsidR="0079456F" w:rsidRDefault="005230D0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14:paraId="60E33317" w14:textId="0EC1373B" w:rsidR="001E24D3" w:rsidRDefault="005230D0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Prijedlog </w:t>
            </w:r>
            <w:r w:rsidR="001E24D3" w:rsidRPr="001E24D3">
              <w:rPr>
                <w:rFonts w:asciiTheme="majorHAnsi" w:hAnsiTheme="majorHAnsi" w:cstheme="majorHAnsi"/>
                <w:sz w:val="22"/>
                <w:szCs w:val="22"/>
              </w:rPr>
              <w:t>Odluke o izmjeni Odluke o uređenju prometa na području Grada Biograda na Moru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Prijedlog </w:t>
            </w:r>
            <w:r w:rsidR="001E24D3" w:rsidRPr="001E24D3">
              <w:rPr>
                <w:rFonts w:asciiTheme="majorHAnsi" w:hAnsiTheme="majorHAnsi" w:cstheme="majorHAnsi"/>
                <w:sz w:val="22"/>
                <w:szCs w:val="22"/>
              </w:rPr>
              <w:t>Odluke o izmjeni Odluke o uređenju prometa na području Grada Biograda na Moru</w:t>
            </w:r>
            <w:r w:rsidR="001456C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25709173" w14:textId="6A88B966" w:rsidR="001E24D3" w:rsidRDefault="001E24D3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3D68FB" w14:textId="40F12061" w:rsidR="001E24D3" w:rsidRDefault="001E24D3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73EFBE" w14:textId="77777777" w:rsidR="001E24D3" w:rsidRDefault="001E24D3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</w:p>
          <w:p w14:paraId="7D1EA526" w14:textId="02130DC9" w:rsidR="00B451B4" w:rsidRPr="00D16EA3" w:rsidRDefault="005230D0" w:rsidP="00B451B4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IV</w:t>
            </w:r>
            <w:r w:rsidR="00B451B4" w:rsidRPr="00D16EA3">
              <w:rPr>
                <w:rFonts w:asciiTheme="majorHAnsi" w:hAnsiTheme="majorHAnsi" w:cstheme="majorHAnsi"/>
                <w:sz w:val="22"/>
                <w:szCs w:val="22"/>
              </w:rPr>
              <w:t>. SAVJETOVANJE SA ZAINTERESIRANOM JAVNOŠĆU</w:t>
            </w:r>
          </w:p>
          <w:p w14:paraId="2B9ADE23" w14:textId="560C1F51" w:rsidR="00CA0915" w:rsidRDefault="00CA0915" w:rsidP="00322CC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5230D0" w:rsidRPr="005230D0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1E24D3" w:rsidRPr="001E24D3">
              <w:rPr>
                <w:rFonts w:asciiTheme="majorHAnsi" w:hAnsiTheme="majorHAnsi" w:cstheme="majorHAnsi"/>
                <w:sz w:val="22"/>
                <w:szCs w:val="22"/>
              </w:rPr>
              <w:t>Odluke o izmjeni Odluke o uređenju prometa na području Grada Biograda na Moru</w:t>
            </w:r>
            <w:r w:rsidR="001456C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14348CC4" w14:textId="77777777" w:rsidR="0079456F" w:rsidRDefault="0079456F" w:rsidP="00322CCE">
            <w:pPr>
              <w:pStyle w:val="NoSpacing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600AAA4F" w:rsidR="00C357AE" w:rsidRPr="008D25DD" w:rsidRDefault="00C357AE" w:rsidP="00322CCE">
            <w:pPr>
              <w:pStyle w:val="NoSpacing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4B7B4DF7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68FCE232" w14:textId="06BFF6F1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1456C4">
        <w:rPr>
          <w:rFonts w:ascii="Calibri Light" w:hAnsi="Calibri Light"/>
          <w:b/>
        </w:rPr>
        <w:t>17</w:t>
      </w:r>
      <w:r w:rsidR="001C07D8" w:rsidRPr="00C1045E">
        <w:rPr>
          <w:rFonts w:ascii="Calibri Light" w:hAnsi="Calibri Light"/>
          <w:b/>
        </w:rPr>
        <w:t xml:space="preserve">. </w:t>
      </w:r>
      <w:r w:rsidR="005230D0">
        <w:rPr>
          <w:rFonts w:ascii="Calibri Light" w:eastAsia="Calibri Light" w:hAnsi="Calibri Light"/>
          <w:b/>
          <w:lang w:eastAsia="hr-HR"/>
        </w:rPr>
        <w:t>lipnja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79456F" w:rsidRPr="0079456F">
        <w:rPr>
          <w:rFonts w:ascii="Calibri Light" w:hAnsi="Calibri Light"/>
          <w:b/>
          <w:szCs w:val="24"/>
        </w:rPr>
        <w:t xml:space="preserve">Prijedlog </w:t>
      </w:r>
      <w:r w:rsidR="001E24D3" w:rsidRPr="001E24D3">
        <w:rPr>
          <w:rFonts w:ascii="Calibri Light" w:hAnsi="Calibri Light"/>
          <w:b/>
          <w:szCs w:val="24"/>
        </w:rPr>
        <w:t>Odluke o izmjeni Odluke o uređenju prometa na području Grada Biograda na Moru</w:t>
      </w:r>
      <w:r w:rsidR="0079456F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yperlink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0D64" w14:textId="77777777" w:rsidR="008D2D21" w:rsidRDefault="008D2D21">
      <w:pPr>
        <w:spacing w:after="0" w:line="240" w:lineRule="auto"/>
      </w:pPr>
      <w:r>
        <w:separator/>
      </w:r>
    </w:p>
  </w:endnote>
  <w:endnote w:type="continuationSeparator" w:id="0">
    <w:p w14:paraId="1BE443A2" w14:textId="77777777" w:rsidR="008D2D21" w:rsidRDefault="008D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73C429BF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1E24D3" w:rsidRPr="001E24D3">
      <w:rPr>
        <w:rFonts w:ascii="Calibri Light" w:hAnsi="Calibri Light"/>
        <w:i/>
        <w:color w:val="000000"/>
        <w:sz w:val="20"/>
        <w:szCs w:val="20"/>
      </w:rPr>
      <w:t>Odluke o izmjeni Odluke o uređenju prometa na području Grada Biograda na Moru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B53E4" w14:textId="77777777" w:rsidR="008D2D21" w:rsidRDefault="008D2D21">
      <w:pPr>
        <w:spacing w:after="0" w:line="240" w:lineRule="auto"/>
      </w:pPr>
      <w:r>
        <w:separator/>
      </w:r>
    </w:p>
  </w:footnote>
  <w:footnote w:type="continuationSeparator" w:id="0">
    <w:p w14:paraId="12EFA2CA" w14:textId="77777777" w:rsidR="008D2D21" w:rsidRDefault="008D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F29"/>
    <w:multiLevelType w:val="hybridMultilevel"/>
    <w:tmpl w:val="00CCDAD6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1B21"/>
    <w:multiLevelType w:val="hybridMultilevel"/>
    <w:tmpl w:val="E42C29C6"/>
    <w:lvl w:ilvl="0" w:tplc="7D5E03A0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64FED"/>
    <w:multiLevelType w:val="hybridMultilevel"/>
    <w:tmpl w:val="172AFBB2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73EF"/>
    <w:multiLevelType w:val="hybridMultilevel"/>
    <w:tmpl w:val="4F62B8E2"/>
    <w:lvl w:ilvl="0" w:tplc="247C1E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562D"/>
    <w:multiLevelType w:val="hybridMultilevel"/>
    <w:tmpl w:val="1340C400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154E7"/>
    <w:multiLevelType w:val="hybridMultilevel"/>
    <w:tmpl w:val="7474208E"/>
    <w:lvl w:ilvl="0" w:tplc="1FD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7AB7"/>
    <w:multiLevelType w:val="hybridMultilevel"/>
    <w:tmpl w:val="B0262C28"/>
    <w:lvl w:ilvl="0" w:tplc="53DE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48140C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67F8"/>
    <w:rsid w:val="000D7E2A"/>
    <w:rsid w:val="000E5ECB"/>
    <w:rsid w:val="000F3585"/>
    <w:rsid w:val="00103292"/>
    <w:rsid w:val="00122374"/>
    <w:rsid w:val="00133084"/>
    <w:rsid w:val="00140025"/>
    <w:rsid w:val="00140AE9"/>
    <w:rsid w:val="001456C4"/>
    <w:rsid w:val="00185E4A"/>
    <w:rsid w:val="001C07D8"/>
    <w:rsid w:val="001C6D11"/>
    <w:rsid w:val="001D331A"/>
    <w:rsid w:val="001D6FD3"/>
    <w:rsid w:val="001E24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A5083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230D0"/>
    <w:rsid w:val="005328C3"/>
    <w:rsid w:val="00542BCE"/>
    <w:rsid w:val="005610FB"/>
    <w:rsid w:val="00561143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160CB"/>
    <w:rsid w:val="00721FFB"/>
    <w:rsid w:val="00724B24"/>
    <w:rsid w:val="007252B9"/>
    <w:rsid w:val="00730D80"/>
    <w:rsid w:val="00733143"/>
    <w:rsid w:val="00735418"/>
    <w:rsid w:val="00744758"/>
    <w:rsid w:val="0076240B"/>
    <w:rsid w:val="00772196"/>
    <w:rsid w:val="0078181B"/>
    <w:rsid w:val="007822AD"/>
    <w:rsid w:val="00782E2A"/>
    <w:rsid w:val="007852A4"/>
    <w:rsid w:val="0079456F"/>
    <w:rsid w:val="00795523"/>
    <w:rsid w:val="007C074F"/>
    <w:rsid w:val="007C7024"/>
    <w:rsid w:val="007D29E1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2D21"/>
    <w:rsid w:val="008D547F"/>
    <w:rsid w:val="008E210A"/>
    <w:rsid w:val="008E75E8"/>
    <w:rsid w:val="00901F78"/>
    <w:rsid w:val="00904FF5"/>
    <w:rsid w:val="009109C0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23B32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201B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09B"/>
    <w:rsid w:val="00DF6ACC"/>
    <w:rsid w:val="00E1577B"/>
    <w:rsid w:val="00E23107"/>
    <w:rsid w:val="00E36F60"/>
    <w:rsid w:val="00E41009"/>
    <w:rsid w:val="00E50418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927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FooterChar">
    <w:name w:val="Footer Char"/>
    <w:link w:val="Footer"/>
    <w:uiPriority w:val="99"/>
    <w:rsid w:val="00D92742"/>
    <w:rPr>
      <w:rFonts w:eastAsia="Calibri Light"/>
      <w:lang w:eastAsia="hr-HR"/>
    </w:rPr>
  </w:style>
  <w:style w:type="paragraph" w:styleId="ListParagraph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FA"/>
  </w:style>
  <w:style w:type="character" w:styleId="FollowedHyperlink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NoSpacingChar">
    <w:name w:val="No Spacing Char"/>
    <w:link w:val="NoSpacing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B33D-D8F9-4F39-9807-CF836C1A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3569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</cp:lastModifiedBy>
  <cp:revision>37</cp:revision>
  <dcterms:created xsi:type="dcterms:W3CDTF">2024-04-25T12:22:00Z</dcterms:created>
  <dcterms:modified xsi:type="dcterms:W3CDTF">2026-05-18T16:19:00Z</dcterms:modified>
</cp:coreProperties>
</file>