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D9" w:rsidRDefault="004419D9" w:rsidP="004419D9">
      <w:pPr>
        <w:jc w:val="center"/>
        <w:rPr>
          <w:rFonts w:ascii="Arial" w:hAnsi="Arial" w:cs="Arial"/>
          <w:b/>
          <w:bCs/>
        </w:rPr>
      </w:pPr>
      <w:r>
        <w:rPr>
          <w:rFonts w:ascii="Arial" w:hAnsi="Arial" w:cs="Arial"/>
          <w:b/>
          <w:bCs/>
        </w:rPr>
        <w:t>Objavljeno u Službenom glasniku Grada Biograda na Moru broj</w:t>
      </w:r>
      <w:r>
        <w:rPr>
          <w:rFonts w:ascii="Arial" w:hAnsi="Arial" w:cs="Arial"/>
          <w:b/>
          <w:bCs/>
        </w:rPr>
        <w:t xml:space="preserve"> </w:t>
      </w:r>
      <w:r>
        <w:rPr>
          <w:rFonts w:ascii="Arial" w:hAnsi="Arial" w:cs="Arial"/>
          <w:b/>
          <w:bCs/>
        </w:rPr>
        <w:t xml:space="preserve">6/23, </w:t>
      </w:r>
    </w:p>
    <w:p w:rsidR="004419D9" w:rsidRDefault="004419D9" w:rsidP="004419D9">
      <w:pPr>
        <w:jc w:val="center"/>
        <w:rPr>
          <w:rFonts w:ascii="Arial" w:hAnsi="Arial" w:cs="Arial"/>
          <w:b/>
          <w:bCs/>
        </w:rPr>
      </w:pPr>
      <w:r>
        <w:rPr>
          <w:rFonts w:ascii="Arial" w:hAnsi="Arial" w:cs="Arial"/>
          <w:b/>
          <w:bCs/>
        </w:rPr>
        <w:t xml:space="preserve">dana </w:t>
      </w:r>
      <w:r>
        <w:rPr>
          <w:rFonts w:ascii="Arial" w:hAnsi="Arial" w:cs="Arial"/>
          <w:b/>
          <w:bCs/>
        </w:rPr>
        <w:t>14. lipnja 2023</w:t>
      </w:r>
      <w:r w:rsidRPr="00363BCC">
        <w:rPr>
          <w:rFonts w:ascii="Arial" w:hAnsi="Arial" w:cs="Arial"/>
          <w:b/>
          <w:bCs/>
        </w:rPr>
        <w:t>. godine</w:t>
      </w:r>
    </w:p>
    <w:p w:rsidR="004419D9" w:rsidRDefault="004419D9" w:rsidP="004419D9">
      <w:pPr>
        <w:jc w:val="center"/>
        <w:rPr>
          <w:rFonts w:ascii="Arial" w:hAnsi="Arial" w:cs="Arial"/>
          <w:sz w:val="22"/>
          <w:szCs w:val="22"/>
          <w:lang w:eastAsia="hr-HR"/>
        </w:rPr>
      </w:pPr>
    </w:p>
    <w:p w:rsidR="000A6DC7" w:rsidRPr="002B6238" w:rsidRDefault="000A6DC7" w:rsidP="000A6DC7">
      <w:pPr>
        <w:jc w:val="center"/>
        <w:rPr>
          <w:rFonts w:ascii="Arial" w:eastAsia="Calibri" w:hAnsi="Arial" w:cs="Arial"/>
          <w:szCs w:val="32"/>
        </w:rPr>
      </w:pPr>
      <w:r>
        <w:rPr>
          <w:rFonts w:ascii="Arial" w:hAnsi="Arial" w:cs="Arial"/>
        </w:rPr>
        <w:t>***</w:t>
      </w:r>
    </w:p>
    <w:p w:rsidR="00EC7983" w:rsidRPr="00EC7983" w:rsidRDefault="00EC7983" w:rsidP="00EC7983">
      <w:pPr>
        <w:jc w:val="both"/>
        <w:rPr>
          <w:rFonts w:ascii="Arial" w:hAnsi="Arial" w:cs="Arial"/>
          <w:sz w:val="20"/>
          <w:szCs w:val="20"/>
        </w:rPr>
      </w:pPr>
      <w:r w:rsidRPr="00EC7983">
        <w:rPr>
          <w:rFonts w:ascii="Arial" w:hAnsi="Arial" w:cs="Arial"/>
          <w:sz w:val="20"/>
          <w:szCs w:val="20"/>
        </w:rPr>
        <w:t>Na temelju članka 89. stavka 2. Zakona o proračunu ("Narodne novine" broj 144/21.), Pravilnika o polugodišnjem i godišnjem izvještaju o izvršenju proračuna ("Narodne novine", broj 24/13., 102/17., 1/20. i 147/20.) i članka 31. stavka 1. točka 4. Statuta Grada Biograda na Moru u ("Službeni glasnik Grada Biograda na Moru", broj 8/22.), Gradsko vijeće Grada Biograda na Moru, na 17. sjednici, održanoj 13. lipnja 2023. godine donosi</w:t>
      </w:r>
    </w:p>
    <w:p w:rsidR="00EC7983" w:rsidRPr="00EC7983" w:rsidRDefault="00EC7983" w:rsidP="00EC7983">
      <w:pPr>
        <w:jc w:val="both"/>
        <w:rPr>
          <w:rFonts w:ascii="Arial" w:hAnsi="Arial" w:cs="Arial"/>
          <w:sz w:val="20"/>
          <w:szCs w:val="20"/>
        </w:rPr>
      </w:pPr>
    </w:p>
    <w:p w:rsidR="00EC7983" w:rsidRPr="00EC7983" w:rsidRDefault="00EC7983" w:rsidP="00EC7983">
      <w:pPr>
        <w:jc w:val="both"/>
        <w:rPr>
          <w:rFonts w:ascii="Arial" w:hAnsi="Arial" w:cs="Arial"/>
          <w:sz w:val="20"/>
          <w:szCs w:val="20"/>
        </w:rPr>
      </w:pPr>
    </w:p>
    <w:p w:rsidR="00EC7983" w:rsidRPr="00EC7983" w:rsidRDefault="00EC7983" w:rsidP="00EC7983">
      <w:pPr>
        <w:jc w:val="center"/>
        <w:rPr>
          <w:rFonts w:ascii="Arial" w:hAnsi="Arial" w:cs="Arial"/>
          <w:b/>
          <w:sz w:val="20"/>
          <w:szCs w:val="20"/>
        </w:rPr>
      </w:pPr>
      <w:r w:rsidRPr="00EC7983">
        <w:rPr>
          <w:rFonts w:ascii="Arial" w:hAnsi="Arial" w:cs="Arial"/>
          <w:b/>
          <w:sz w:val="20"/>
          <w:szCs w:val="20"/>
        </w:rPr>
        <w:t>GODIŠNJI IZVJEŠTAJ O IZVRŠENJU PRORAČUNA</w:t>
      </w:r>
    </w:p>
    <w:p w:rsidR="00EC7983" w:rsidRPr="00EC7983" w:rsidRDefault="00EC7983" w:rsidP="00EC7983">
      <w:pPr>
        <w:jc w:val="center"/>
        <w:rPr>
          <w:rFonts w:ascii="Arial" w:hAnsi="Arial" w:cs="Arial"/>
          <w:b/>
          <w:sz w:val="20"/>
          <w:szCs w:val="20"/>
        </w:rPr>
      </w:pPr>
      <w:r w:rsidRPr="00EC7983">
        <w:rPr>
          <w:rFonts w:ascii="Arial" w:hAnsi="Arial" w:cs="Arial"/>
          <w:b/>
          <w:sz w:val="20"/>
          <w:szCs w:val="20"/>
        </w:rPr>
        <w:t>GRADA BIOGRADA NA MORU ZA 2022. GODINU</w:t>
      </w:r>
    </w:p>
    <w:p w:rsidR="00EC7983" w:rsidRPr="00EC7983" w:rsidRDefault="00EC7983" w:rsidP="00EC7983">
      <w:pPr>
        <w:rPr>
          <w:rFonts w:ascii="Arial" w:hAnsi="Arial" w:cs="Arial"/>
          <w:sz w:val="20"/>
          <w:szCs w:val="20"/>
        </w:rPr>
      </w:pPr>
    </w:p>
    <w:p w:rsidR="00EC7983" w:rsidRPr="00EC7983" w:rsidRDefault="00EC7983" w:rsidP="00EC7983">
      <w:pPr>
        <w:rPr>
          <w:rFonts w:ascii="Arial" w:hAnsi="Arial" w:cs="Arial"/>
          <w:sz w:val="20"/>
          <w:szCs w:val="20"/>
        </w:rPr>
      </w:pPr>
    </w:p>
    <w:p w:rsidR="00EC7983" w:rsidRPr="00EC7983" w:rsidRDefault="00EC7983" w:rsidP="00EC7983">
      <w:pPr>
        <w:jc w:val="center"/>
        <w:rPr>
          <w:rFonts w:ascii="Arial" w:hAnsi="Arial" w:cs="Arial"/>
          <w:b/>
          <w:sz w:val="20"/>
          <w:szCs w:val="20"/>
        </w:rPr>
      </w:pPr>
      <w:r w:rsidRPr="00EC7983">
        <w:rPr>
          <w:rFonts w:ascii="Arial" w:hAnsi="Arial" w:cs="Arial"/>
          <w:b/>
          <w:sz w:val="20"/>
          <w:szCs w:val="20"/>
        </w:rPr>
        <w:t>Članak 1.</w:t>
      </w:r>
    </w:p>
    <w:p w:rsidR="00EC7983" w:rsidRPr="00EC7983" w:rsidRDefault="00EC7983" w:rsidP="00EC7983">
      <w:pPr>
        <w:jc w:val="both"/>
        <w:rPr>
          <w:rFonts w:ascii="Arial" w:hAnsi="Arial" w:cs="Arial"/>
          <w:sz w:val="20"/>
          <w:szCs w:val="20"/>
        </w:rPr>
      </w:pPr>
      <w:r w:rsidRPr="00EC7983">
        <w:rPr>
          <w:rFonts w:ascii="Arial" w:hAnsi="Arial" w:cs="Arial"/>
          <w:sz w:val="20"/>
          <w:szCs w:val="20"/>
        </w:rPr>
        <w:t xml:space="preserve">Proračun Grada Biograda na Moru ("Službeni glasnik Grada Biograda na Moru", broj 12/21., 02/22., 12/22.)  za 2022. godinu planiran u ukupnom iznosu od </w:t>
      </w:r>
      <w:r w:rsidRPr="00EC7983">
        <w:rPr>
          <w:rFonts w:ascii="Arial" w:hAnsi="Arial" w:cs="Arial"/>
          <w:color w:val="000000"/>
          <w:sz w:val="20"/>
          <w:szCs w:val="20"/>
        </w:rPr>
        <w:t>112.508.326,00</w:t>
      </w:r>
      <w:r w:rsidRPr="00EC7983">
        <w:rPr>
          <w:rFonts w:ascii="Arial" w:hAnsi="Arial" w:cs="Arial"/>
          <w:sz w:val="20"/>
          <w:szCs w:val="20"/>
        </w:rPr>
        <w:t xml:space="preserve"> kuna, ostvaren je kako slijedi:</w:t>
      </w:r>
    </w:p>
    <w:p w:rsidR="00EC7983" w:rsidRPr="00EC7983" w:rsidRDefault="00EC7983" w:rsidP="00EC7983">
      <w:pPr>
        <w:rPr>
          <w:rFonts w:ascii="Arial" w:hAnsi="Arial" w:cs="Arial"/>
          <w:sz w:val="20"/>
          <w:szCs w:val="20"/>
        </w:rPr>
      </w:pPr>
    </w:p>
    <w:tbl>
      <w:tblPr>
        <w:tblW w:w="89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0" w:type="dxa"/>
          <w:right w:w="40" w:type="dxa"/>
        </w:tblCellMar>
        <w:tblLook w:val="0000" w:firstRow="0" w:lastRow="0" w:firstColumn="0" w:lastColumn="0" w:noHBand="0" w:noVBand="0"/>
      </w:tblPr>
      <w:tblGrid>
        <w:gridCol w:w="525"/>
        <w:gridCol w:w="4694"/>
        <w:gridCol w:w="1920"/>
        <w:gridCol w:w="1843"/>
        <w:gridCol w:w="6"/>
      </w:tblGrid>
      <w:tr w:rsidR="00EC7983" w:rsidRPr="00EC7983" w:rsidTr="00EC7983">
        <w:trPr>
          <w:gridAfter w:val="1"/>
          <w:wAfter w:w="6" w:type="dxa"/>
          <w:trHeight w:hRule="exact" w:val="557"/>
          <w:jc w:val="center"/>
        </w:trPr>
        <w:tc>
          <w:tcPr>
            <w:tcW w:w="525" w:type="dxa"/>
            <w:shd w:val="clear" w:color="auto" w:fill="E2EFD9" w:themeFill="accent6" w:themeFillTint="33"/>
            <w:vAlign w:val="center"/>
          </w:tcPr>
          <w:p w:rsidR="00EC7983" w:rsidRPr="00EC7983" w:rsidRDefault="00EC7983" w:rsidP="00EC7983">
            <w:pPr>
              <w:jc w:val="center"/>
              <w:rPr>
                <w:rFonts w:ascii="Arial" w:hAnsi="Arial" w:cs="Arial"/>
                <w:b/>
                <w:sz w:val="20"/>
                <w:szCs w:val="20"/>
              </w:rPr>
            </w:pPr>
            <w:r w:rsidRPr="00EC7983">
              <w:rPr>
                <w:rFonts w:ascii="Arial" w:hAnsi="Arial" w:cs="Arial"/>
                <w:b/>
                <w:sz w:val="20"/>
                <w:szCs w:val="20"/>
              </w:rPr>
              <w:t>Kto</w:t>
            </w:r>
          </w:p>
        </w:tc>
        <w:tc>
          <w:tcPr>
            <w:tcW w:w="4694" w:type="dxa"/>
            <w:shd w:val="clear" w:color="auto" w:fill="E2EFD9" w:themeFill="accent6" w:themeFillTint="33"/>
            <w:vAlign w:val="center"/>
          </w:tcPr>
          <w:p w:rsidR="00EC7983" w:rsidRPr="00EC7983" w:rsidRDefault="00EC7983" w:rsidP="00EC7983">
            <w:pPr>
              <w:jc w:val="center"/>
              <w:rPr>
                <w:rFonts w:ascii="Arial" w:hAnsi="Arial" w:cs="Arial"/>
                <w:b/>
                <w:sz w:val="20"/>
                <w:szCs w:val="20"/>
              </w:rPr>
            </w:pPr>
            <w:r w:rsidRPr="00EC7983">
              <w:rPr>
                <w:rFonts w:ascii="Arial" w:hAnsi="Arial" w:cs="Arial"/>
                <w:b/>
                <w:sz w:val="20"/>
                <w:szCs w:val="20"/>
              </w:rPr>
              <w:t>OPIS</w:t>
            </w:r>
          </w:p>
        </w:tc>
        <w:tc>
          <w:tcPr>
            <w:tcW w:w="3763" w:type="dxa"/>
            <w:gridSpan w:val="2"/>
            <w:shd w:val="clear" w:color="auto" w:fill="E2EFD9" w:themeFill="accent6" w:themeFillTint="33"/>
            <w:vAlign w:val="center"/>
          </w:tcPr>
          <w:p w:rsidR="00EC7983" w:rsidRPr="00EC7983" w:rsidRDefault="00EC7983" w:rsidP="00EC7983">
            <w:pPr>
              <w:jc w:val="center"/>
              <w:rPr>
                <w:rFonts w:ascii="Arial" w:hAnsi="Arial" w:cs="Arial"/>
                <w:b/>
                <w:sz w:val="20"/>
                <w:szCs w:val="20"/>
              </w:rPr>
            </w:pPr>
            <w:r w:rsidRPr="00EC7983">
              <w:rPr>
                <w:rFonts w:ascii="Arial" w:hAnsi="Arial" w:cs="Arial"/>
                <w:b/>
                <w:sz w:val="20"/>
                <w:szCs w:val="20"/>
              </w:rPr>
              <w:t>IZNOS</w:t>
            </w:r>
          </w:p>
          <w:p w:rsidR="00EC7983" w:rsidRPr="00EC7983" w:rsidRDefault="00EC7983" w:rsidP="00EC7983">
            <w:pPr>
              <w:jc w:val="center"/>
              <w:rPr>
                <w:rFonts w:ascii="Arial" w:hAnsi="Arial" w:cs="Arial"/>
                <w:sz w:val="20"/>
                <w:szCs w:val="20"/>
              </w:rPr>
            </w:pPr>
            <w:r w:rsidRPr="00EC7983">
              <w:rPr>
                <w:rFonts w:ascii="Arial" w:hAnsi="Arial" w:cs="Arial"/>
                <w:sz w:val="20"/>
                <w:szCs w:val="20"/>
              </w:rPr>
              <w:t>(u kunama)</w:t>
            </w:r>
          </w:p>
        </w:tc>
      </w:tr>
      <w:tr w:rsidR="00EC7983" w:rsidRPr="00EC7983" w:rsidTr="00EC7983">
        <w:trPr>
          <w:gridAfter w:val="1"/>
          <w:wAfter w:w="6" w:type="dxa"/>
          <w:trHeight w:hRule="exact" w:val="423"/>
          <w:jc w:val="center"/>
        </w:trPr>
        <w:tc>
          <w:tcPr>
            <w:tcW w:w="5219" w:type="dxa"/>
            <w:gridSpan w:val="2"/>
            <w:shd w:val="clear" w:color="auto" w:fill="FFD966" w:themeFill="accent4" w:themeFillTint="99"/>
            <w:vAlign w:val="center"/>
          </w:tcPr>
          <w:p w:rsidR="00EC7983" w:rsidRPr="00EC7983" w:rsidRDefault="00EC7983" w:rsidP="00EC7983">
            <w:pPr>
              <w:rPr>
                <w:rFonts w:ascii="Arial" w:hAnsi="Arial" w:cs="Arial"/>
                <w:b/>
                <w:sz w:val="20"/>
                <w:szCs w:val="20"/>
              </w:rPr>
            </w:pPr>
            <w:r w:rsidRPr="00EC7983">
              <w:rPr>
                <w:rFonts w:ascii="Arial" w:hAnsi="Arial" w:cs="Arial"/>
                <w:b/>
                <w:sz w:val="20"/>
                <w:szCs w:val="20"/>
              </w:rPr>
              <w:t xml:space="preserve">    A.        RAČUN PRIHODA I RASHODA</w:t>
            </w:r>
          </w:p>
        </w:tc>
        <w:tc>
          <w:tcPr>
            <w:tcW w:w="1920" w:type="dxa"/>
            <w:shd w:val="clear" w:color="auto" w:fill="FFD966" w:themeFill="accent4" w:themeFillTint="99"/>
            <w:vAlign w:val="center"/>
          </w:tcPr>
          <w:p w:rsidR="00EC7983" w:rsidRPr="00EC7983" w:rsidRDefault="00EC7983" w:rsidP="00EC7983">
            <w:pPr>
              <w:jc w:val="center"/>
              <w:rPr>
                <w:rFonts w:ascii="Arial" w:hAnsi="Arial" w:cs="Arial"/>
                <w:b/>
                <w:sz w:val="20"/>
                <w:szCs w:val="20"/>
              </w:rPr>
            </w:pPr>
            <w:r w:rsidRPr="00EC7983">
              <w:rPr>
                <w:rFonts w:ascii="Arial" w:hAnsi="Arial" w:cs="Arial"/>
                <w:b/>
                <w:sz w:val="20"/>
                <w:szCs w:val="20"/>
              </w:rPr>
              <w:t>Planirano</w:t>
            </w:r>
          </w:p>
        </w:tc>
        <w:tc>
          <w:tcPr>
            <w:tcW w:w="1843" w:type="dxa"/>
            <w:shd w:val="clear" w:color="auto" w:fill="FFD966" w:themeFill="accent4" w:themeFillTint="99"/>
            <w:vAlign w:val="center"/>
          </w:tcPr>
          <w:p w:rsidR="00EC7983" w:rsidRPr="00EC7983" w:rsidRDefault="00EC7983" w:rsidP="00EC7983">
            <w:pPr>
              <w:jc w:val="center"/>
              <w:rPr>
                <w:rFonts w:ascii="Arial" w:hAnsi="Arial" w:cs="Arial"/>
                <w:b/>
                <w:sz w:val="20"/>
                <w:szCs w:val="20"/>
              </w:rPr>
            </w:pPr>
            <w:r w:rsidRPr="00EC7983">
              <w:rPr>
                <w:rFonts w:ascii="Arial" w:hAnsi="Arial" w:cs="Arial"/>
                <w:b/>
                <w:sz w:val="20"/>
                <w:szCs w:val="20"/>
              </w:rPr>
              <w:t>Ostvareno</w:t>
            </w:r>
          </w:p>
        </w:tc>
      </w:tr>
      <w:tr w:rsidR="00EC7983" w:rsidRPr="00EC7983" w:rsidTr="00EC7983">
        <w:trPr>
          <w:gridAfter w:val="1"/>
          <w:wAfter w:w="6" w:type="dxa"/>
          <w:trHeight w:hRule="exact" w:val="429"/>
          <w:jc w:val="center"/>
        </w:trPr>
        <w:tc>
          <w:tcPr>
            <w:tcW w:w="525"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6</w:t>
            </w:r>
          </w:p>
        </w:tc>
        <w:tc>
          <w:tcPr>
            <w:tcW w:w="4694" w:type="dxa"/>
            <w:shd w:val="clear" w:color="auto" w:fill="FFFFFF"/>
            <w:vAlign w:val="center"/>
          </w:tcPr>
          <w:p w:rsidR="00EC7983" w:rsidRPr="00EC7983" w:rsidRDefault="00EC7983" w:rsidP="00EC7983">
            <w:pPr>
              <w:rPr>
                <w:rFonts w:ascii="Arial" w:hAnsi="Arial" w:cs="Arial"/>
                <w:sz w:val="20"/>
                <w:szCs w:val="20"/>
              </w:rPr>
            </w:pPr>
            <w:r w:rsidRPr="00EC7983">
              <w:rPr>
                <w:rFonts w:ascii="Arial" w:hAnsi="Arial" w:cs="Arial"/>
                <w:sz w:val="20"/>
                <w:szCs w:val="20"/>
              </w:rPr>
              <w:t>PRIHODI POSLOVANJA</w:t>
            </w:r>
          </w:p>
        </w:tc>
        <w:tc>
          <w:tcPr>
            <w:tcW w:w="1920"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78.397.521,00</w:t>
            </w:r>
          </w:p>
        </w:tc>
        <w:tc>
          <w:tcPr>
            <w:tcW w:w="1843"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54.559.280,00</w:t>
            </w:r>
          </w:p>
        </w:tc>
      </w:tr>
      <w:tr w:rsidR="00EC7983" w:rsidRPr="00EC7983" w:rsidTr="00EC7983">
        <w:trPr>
          <w:gridAfter w:val="1"/>
          <w:wAfter w:w="6" w:type="dxa"/>
          <w:trHeight w:hRule="exact" w:val="434"/>
          <w:jc w:val="center"/>
        </w:trPr>
        <w:tc>
          <w:tcPr>
            <w:tcW w:w="525"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7</w:t>
            </w:r>
          </w:p>
        </w:tc>
        <w:tc>
          <w:tcPr>
            <w:tcW w:w="4694" w:type="dxa"/>
            <w:shd w:val="clear" w:color="auto" w:fill="FFFFFF"/>
            <w:vAlign w:val="center"/>
          </w:tcPr>
          <w:p w:rsidR="00EC7983" w:rsidRPr="00EC7983" w:rsidRDefault="00EC7983" w:rsidP="00EC7983">
            <w:pPr>
              <w:rPr>
                <w:rFonts w:ascii="Arial" w:hAnsi="Arial" w:cs="Arial"/>
                <w:sz w:val="20"/>
                <w:szCs w:val="20"/>
              </w:rPr>
            </w:pPr>
            <w:r w:rsidRPr="00EC7983">
              <w:rPr>
                <w:rFonts w:ascii="Arial" w:hAnsi="Arial" w:cs="Arial"/>
                <w:sz w:val="20"/>
                <w:szCs w:val="20"/>
              </w:rPr>
              <w:t>PRIHODI OD NEFINANCIJSKE IMOVINE</w:t>
            </w:r>
          </w:p>
        </w:tc>
        <w:tc>
          <w:tcPr>
            <w:tcW w:w="1920"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24.702.541,00</w:t>
            </w:r>
          </w:p>
        </w:tc>
        <w:tc>
          <w:tcPr>
            <w:tcW w:w="1843"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15.133.155,45</w:t>
            </w:r>
          </w:p>
        </w:tc>
      </w:tr>
      <w:tr w:rsidR="00EC7983" w:rsidRPr="00EC7983" w:rsidTr="00EC7983">
        <w:trPr>
          <w:gridAfter w:val="1"/>
          <w:wAfter w:w="6" w:type="dxa"/>
          <w:trHeight w:hRule="exact" w:val="343"/>
          <w:jc w:val="center"/>
        </w:trPr>
        <w:tc>
          <w:tcPr>
            <w:tcW w:w="5219" w:type="dxa"/>
            <w:gridSpan w:val="2"/>
            <w:shd w:val="clear" w:color="auto" w:fill="FFD966" w:themeFill="accent4" w:themeFillTint="99"/>
            <w:vAlign w:val="center"/>
          </w:tcPr>
          <w:p w:rsidR="00EC7983" w:rsidRPr="00EC7983" w:rsidRDefault="00EC7983" w:rsidP="00EC7983">
            <w:pPr>
              <w:rPr>
                <w:rFonts w:ascii="Arial" w:hAnsi="Arial" w:cs="Arial"/>
                <w:b/>
                <w:bCs/>
                <w:sz w:val="20"/>
                <w:szCs w:val="20"/>
              </w:rPr>
            </w:pPr>
            <w:r w:rsidRPr="00EC7983">
              <w:rPr>
                <w:rFonts w:ascii="Arial" w:hAnsi="Arial" w:cs="Arial"/>
                <w:b/>
                <w:bCs/>
                <w:sz w:val="20"/>
                <w:szCs w:val="20"/>
              </w:rPr>
              <w:t>UKUPNI PRIHODI:</w:t>
            </w:r>
          </w:p>
        </w:tc>
        <w:tc>
          <w:tcPr>
            <w:tcW w:w="1920" w:type="dxa"/>
            <w:shd w:val="clear" w:color="auto" w:fill="FFD966" w:themeFill="accent4" w:themeFillTint="99"/>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103.100.062,00</w:t>
            </w:r>
          </w:p>
        </w:tc>
        <w:tc>
          <w:tcPr>
            <w:tcW w:w="1843" w:type="dxa"/>
            <w:shd w:val="clear" w:color="auto" w:fill="FFD966" w:themeFill="accent4" w:themeFillTint="99"/>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69.692.435,45</w:t>
            </w:r>
          </w:p>
        </w:tc>
      </w:tr>
      <w:tr w:rsidR="00EC7983" w:rsidRPr="00EC7983" w:rsidTr="00EC7983">
        <w:trPr>
          <w:gridAfter w:val="1"/>
          <w:wAfter w:w="6" w:type="dxa"/>
          <w:trHeight w:hRule="exact" w:val="361"/>
          <w:jc w:val="center"/>
        </w:trPr>
        <w:tc>
          <w:tcPr>
            <w:tcW w:w="525"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3</w:t>
            </w:r>
          </w:p>
        </w:tc>
        <w:tc>
          <w:tcPr>
            <w:tcW w:w="4694" w:type="dxa"/>
            <w:shd w:val="clear" w:color="auto" w:fill="FFFFFF"/>
            <w:vAlign w:val="center"/>
          </w:tcPr>
          <w:p w:rsidR="00EC7983" w:rsidRPr="00EC7983" w:rsidRDefault="00EC7983" w:rsidP="00EC7983">
            <w:pPr>
              <w:rPr>
                <w:rFonts w:ascii="Arial" w:hAnsi="Arial" w:cs="Arial"/>
                <w:sz w:val="20"/>
                <w:szCs w:val="20"/>
              </w:rPr>
            </w:pPr>
            <w:r w:rsidRPr="00EC7983">
              <w:rPr>
                <w:rFonts w:ascii="Arial" w:hAnsi="Arial" w:cs="Arial"/>
                <w:sz w:val="20"/>
                <w:szCs w:val="20"/>
              </w:rPr>
              <w:t>RASHODI POSLOVANJA</w:t>
            </w:r>
          </w:p>
        </w:tc>
        <w:tc>
          <w:tcPr>
            <w:tcW w:w="1920"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54.354.128,00</w:t>
            </w:r>
          </w:p>
        </w:tc>
        <w:tc>
          <w:tcPr>
            <w:tcW w:w="1843"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43.964.487,68</w:t>
            </w:r>
          </w:p>
        </w:tc>
      </w:tr>
      <w:tr w:rsidR="00EC7983" w:rsidRPr="00EC7983" w:rsidTr="00EC7983">
        <w:trPr>
          <w:gridAfter w:val="1"/>
          <w:wAfter w:w="6" w:type="dxa"/>
          <w:trHeight w:hRule="exact" w:val="468"/>
          <w:jc w:val="center"/>
        </w:trPr>
        <w:tc>
          <w:tcPr>
            <w:tcW w:w="525"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4</w:t>
            </w:r>
          </w:p>
        </w:tc>
        <w:tc>
          <w:tcPr>
            <w:tcW w:w="4694" w:type="dxa"/>
            <w:shd w:val="clear" w:color="auto" w:fill="FFFFFF"/>
            <w:vAlign w:val="center"/>
          </w:tcPr>
          <w:p w:rsidR="00EC7983" w:rsidRPr="00EC7983" w:rsidRDefault="00EC7983" w:rsidP="00EC7983">
            <w:pPr>
              <w:rPr>
                <w:rFonts w:ascii="Arial" w:hAnsi="Arial" w:cs="Arial"/>
                <w:sz w:val="20"/>
                <w:szCs w:val="20"/>
              </w:rPr>
            </w:pPr>
            <w:r w:rsidRPr="00EC7983">
              <w:rPr>
                <w:rFonts w:ascii="Arial" w:hAnsi="Arial" w:cs="Arial"/>
                <w:sz w:val="20"/>
                <w:szCs w:val="20"/>
              </w:rPr>
              <w:t>RASHODI ZA NABAVU NEFINANCIJSKE IMOVINE</w:t>
            </w:r>
          </w:p>
        </w:tc>
        <w:tc>
          <w:tcPr>
            <w:tcW w:w="1920"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28.290.500,00</w:t>
            </w:r>
          </w:p>
        </w:tc>
        <w:tc>
          <w:tcPr>
            <w:tcW w:w="1843"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15.247.462,76</w:t>
            </w:r>
          </w:p>
        </w:tc>
      </w:tr>
      <w:tr w:rsidR="00EC7983" w:rsidRPr="00EC7983" w:rsidTr="00EC7983">
        <w:trPr>
          <w:gridAfter w:val="1"/>
          <w:wAfter w:w="6" w:type="dxa"/>
          <w:trHeight w:hRule="exact" w:val="346"/>
          <w:jc w:val="center"/>
        </w:trPr>
        <w:tc>
          <w:tcPr>
            <w:tcW w:w="5219" w:type="dxa"/>
            <w:gridSpan w:val="2"/>
            <w:shd w:val="clear" w:color="auto" w:fill="FFD966" w:themeFill="accent4" w:themeFillTint="99"/>
            <w:vAlign w:val="center"/>
          </w:tcPr>
          <w:p w:rsidR="00EC7983" w:rsidRPr="00EC7983" w:rsidRDefault="00EC7983" w:rsidP="00EC7983">
            <w:pPr>
              <w:rPr>
                <w:rFonts w:ascii="Arial" w:hAnsi="Arial" w:cs="Arial"/>
                <w:b/>
                <w:bCs/>
                <w:sz w:val="20"/>
                <w:szCs w:val="20"/>
              </w:rPr>
            </w:pPr>
            <w:r w:rsidRPr="00EC7983">
              <w:rPr>
                <w:rFonts w:ascii="Arial" w:hAnsi="Arial" w:cs="Arial"/>
                <w:b/>
                <w:bCs/>
                <w:sz w:val="20"/>
                <w:szCs w:val="20"/>
              </w:rPr>
              <w:t>UKUPNI RASHODI:</w:t>
            </w:r>
          </w:p>
        </w:tc>
        <w:tc>
          <w:tcPr>
            <w:tcW w:w="1920" w:type="dxa"/>
            <w:shd w:val="clear" w:color="auto" w:fill="FFD966" w:themeFill="accent4" w:themeFillTint="99"/>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82.644.628,00</w:t>
            </w:r>
          </w:p>
        </w:tc>
        <w:tc>
          <w:tcPr>
            <w:tcW w:w="1843" w:type="dxa"/>
            <w:shd w:val="clear" w:color="auto" w:fill="FFD966" w:themeFill="accent4" w:themeFillTint="99"/>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59.211.950,44</w:t>
            </w:r>
          </w:p>
        </w:tc>
      </w:tr>
      <w:tr w:rsidR="00EC7983" w:rsidRPr="00EC7983" w:rsidTr="00EC7983">
        <w:trPr>
          <w:gridAfter w:val="1"/>
          <w:wAfter w:w="6" w:type="dxa"/>
          <w:trHeight w:hRule="exact" w:val="321"/>
          <w:jc w:val="center"/>
        </w:trPr>
        <w:tc>
          <w:tcPr>
            <w:tcW w:w="5219" w:type="dxa"/>
            <w:gridSpan w:val="2"/>
            <w:shd w:val="clear" w:color="auto" w:fill="E2EFD9" w:themeFill="accent6" w:themeFillTint="33"/>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VIŠAK / MANJAK (6+7) – (3+4)</w:t>
            </w:r>
          </w:p>
        </w:tc>
        <w:tc>
          <w:tcPr>
            <w:tcW w:w="1920" w:type="dxa"/>
            <w:shd w:val="clear" w:color="auto" w:fill="E2EFD9" w:themeFill="accent6" w:themeFillTint="33"/>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20.455.434,00</w:t>
            </w:r>
          </w:p>
        </w:tc>
        <w:tc>
          <w:tcPr>
            <w:tcW w:w="1843" w:type="dxa"/>
            <w:shd w:val="clear" w:color="auto" w:fill="E2EFD9" w:themeFill="accent6" w:themeFillTint="33"/>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10.480.485,01</w:t>
            </w:r>
          </w:p>
        </w:tc>
      </w:tr>
      <w:tr w:rsidR="00EC7983" w:rsidRPr="00EC7983" w:rsidTr="00EC7983">
        <w:trPr>
          <w:trHeight w:hRule="exact" w:val="373"/>
          <w:jc w:val="center"/>
        </w:trPr>
        <w:tc>
          <w:tcPr>
            <w:tcW w:w="5219" w:type="dxa"/>
            <w:gridSpan w:val="2"/>
            <w:tcBorders>
              <w:right w:val="single" w:sz="4" w:space="0" w:color="auto"/>
            </w:tcBorders>
            <w:shd w:val="clear" w:color="auto" w:fill="FFD966" w:themeFill="accent4" w:themeFillTint="99"/>
            <w:vAlign w:val="center"/>
          </w:tcPr>
          <w:p w:rsidR="00EC7983" w:rsidRPr="00EC7983" w:rsidRDefault="00EC7983" w:rsidP="00EC7983">
            <w:pPr>
              <w:rPr>
                <w:rFonts w:ascii="Arial" w:hAnsi="Arial" w:cs="Arial"/>
                <w:sz w:val="20"/>
                <w:szCs w:val="20"/>
              </w:rPr>
            </w:pPr>
            <w:r w:rsidRPr="00EC7983">
              <w:rPr>
                <w:rFonts w:ascii="Arial" w:hAnsi="Arial" w:cs="Arial"/>
                <w:b/>
                <w:sz w:val="20"/>
                <w:szCs w:val="20"/>
              </w:rPr>
              <w:t>B.       RAČUNA ZADUŽIVANJA/FINANCIRANJA</w:t>
            </w:r>
          </w:p>
        </w:tc>
        <w:tc>
          <w:tcPr>
            <w:tcW w:w="1920" w:type="dxa"/>
            <w:tcBorders>
              <w:left w:val="single" w:sz="4" w:space="0" w:color="auto"/>
              <w:right w:val="single" w:sz="4" w:space="0" w:color="auto"/>
            </w:tcBorders>
            <w:shd w:val="clear" w:color="auto" w:fill="FFD966" w:themeFill="accent4" w:themeFillTint="99"/>
            <w:vAlign w:val="center"/>
          </w:tcPr>
          <w:p w:rsidR="00EC7983" w:rsidRPr="00EC7983" w:rsidRDefault="00EC7983" w:rsidP="00EC7983">
            <w:pPr>
              <w:jc w:val="center"/>
              <w:rPr>
                <w:rFonts w:ascii="Arial" w:hAnsi="Arial" w:cs="Arial"/>
                <w:b/>
                <w:bCs/>
                <w:sz w:val="20"/>
                <w:szCs w:val="20"/>
              </w:rPr>
            </w:pPr>
          </w:p>
        </w:tc>
        <w:tc>
          <w:tcPr>
            <w:tcW w:w="1849" w:type="dxa"/>
            <w:gridSpan w:val="2"/>
            <w:tcBorders>
              <w:left w:val="single" w:sz="4" w:space="0" w:color="auto"/>
            </w:tcBorders>
            <w:shd w:val="clear" w:color="auto" w:fill="FFD966" w:themeFill="accent4" w:themeFillTint="99"/>
            <w:vAlign w:val="center"/>
          </w:tcPr>
          <w:p w:rsidR="00EC7983" w:rsidRPr="00EC7983" w:rsidRDefault="00EC7983" w:rsidP="00EC7983">
            <w:pPr>
              <w:jc w:val="center"/>
              <w:rPr>
                <w:rFonts w:ascii="Arial" w:hAnsi="Arial" w:cs="Arial"/>
                <w:b/>
                <w:bCs/>
                <w:sz w:val="20"/>
                <w:szCs w:val="20"/>
              </w:rPr>
            </w:pPr>
          </w:p>
        </w:tc>
      </w:tr>
      <w:tr w:rsidR="00EC7983" w:rsidRPr="00EC7983" w:rsidTr="00EC7983">
        <w:trPr>
          <w:gridAfter w:val="1"/>
          <w:wAfter w:w="6" w:type="dxa"/>
          <w:trHeight w:hRule="exact" w:val="471"/>
          <w:jc w:val="center"/>
        </w:trPr>
        <w:tc>
          <w:tcPr>
            <w:tcW w:w="525"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8</w:t>
            </w:r>
          </w:p>
        </w:tc>
        <w:tc>
          <w:tcPr>
            <w:tcW w:w="4694" w:type="dxa"/>
            <w:shd w:val="clear" w:color="auto" w:fill="FFFFFF"/>
            <w:vAlign w:val="center"/>
          </w:tcPr>
          <w:p w:rsidR="00EC7983" w:rsidRPr="00EC7983" w:rsidRDefault="00EC7983" w:rsidP="00EC7983">
            <w:pPr>
              <w:rPr>
                <w:rFonts w:ascii="Arial" w:hAnsi="Arial" w:cs="Arial"/>
                <w:sz w:val="20"/>
                <w:szCs w:val="20"/>
              </w:rPr>
            </w:pPr>
            <w:r w:rsidRPr="00EC7983">
              <w:rPr>
                <w:rFonts w:ascii="Arial" w:hAnsi="Arial" w:cs="Arial"/>
                <w:sz w:val="20"/>
                <w:szCs w:val="20"/>
              </w:rPr>
              <w:t>PRIMICI OD FINANC. IMOVINE I ZADUŽIVANJA</w:t>
            </w:r>
          </w:p>
        </w:tc>
        <w:tc>
          <w:tcPr>
            <w:tcW w:w="1920"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9.355.750,00</w:t>
            </w:r>
          </w:p>
        </w:tc>
        <w:tc>
          <w:tcPr>
            <w:tcW w:w="1843"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4.270.438,76</w:t>
            </w:r>
          </w:p>
        </w:tc>
      </w:tr>
      <w:tr w:rsidR="00EC7983" w:rsidRPr="00EC7983" w:rsidTr="00EC7983">
        <w:trPr>
          <w:gridAfter w:val="1"/>
          <w:wAfter w:w="6" w:type="dxa"/>
          <w:trHeight w:hRule="exact" w:val="471"/>
          <w:jc w:val="center"/>
        </w:trPr>
        <w:tc>
          <w:tcPr>
            <w:tcW w:w="525"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5</w:t>
            </w:r>
          </w:p>
        </w:tc>
        <w:tc>
          <w:tcPr>
            <w:tcW w:w="4694" w:type="dxa"/>
            <w:shd w:val="clear" w:color="auto" w:fill="FFFFFF"/>
            <w:vAlign w:val="center"/>
          </w:tcPr>
          <w:p w:rsidR="00EC7983" w:rsidRPr="00EC7983" w:rsidRDefault="00EC7983" w:rsidP="00EC7983">
            <w:pPr>
              <w:rPr>
                <w:rFonts w:ascii="Arial" w:hAnsi="Arial" w:cs="Arial"/>
                <w:sz w:val="20"/>
                <w:szCs w:val="20"/>
              </w:rPr>
            </w:pPr>
            <w:r w:rsidRPr="00EC7983">
              <w:rPr>
                <w:rFonts w:ascii="Arial" w:hAnsi="Arial" w:cs="Arial"/>
                <w:sz w:val="20"/>
                <w:szCs w:val="20"/>
              </w:rPr>
              <w:t>IZDACI ZA FINANC. IMOVINU I OTPLATE ZAJMOVA</w:t>
            </w:r>
          </w:p>
        </w:tc>
        <w:tc>
          <w:tcPr>
            <w:tcW w:w="1920"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4.863.698,00</w:t>
            </w:r>
          </w:p>
        </w:tc>
        <w:tc>
          <w:tcPr>
            <w:tcW w:w="1843" w:type="dxa"/>
            <w:shd w:val="clear" w:color="auto" w:fill="FFFFFF"/>
            <w:vAlign w:val="center"/>
          </w:tcPr>
          <w:p w:rsidR="00EC7983" w:rsidRPr="00EC7983" w:rsidRDefault="00EC7983" w:rsidP="00EC7983">
            <w:pPr>
              <w:jc w:val="center"/>
              <w:rPr>
                <w:rFonts w:ascii="Arial" w:hAnsi="Arial" w:cs="Arial"/>
                <w:sz w:val="20"/>
                <w:szCs w:val="20"/>
              </w:rPr>
            </w:pPr>
            <w:r w:rsidRPr="00EC7983">
              <w:rPr>
                <w:rFonts w:ascii="Arial" w:hAnsi="Arial" w:cs="Arial"/>
                <w:sz w:val="20"/>
                <w:szCs w:val="20"/>
              </w:rPr>
              <w:t>4.710.640,33</w:t>
            </w:r>
          </w:p>
        </w:tc>
      </w:tr>
      <w:tr w:rsidR="00EC7983" w:rsidRPr="00EC7983" w:rsidTr="00EC7983">
        <w:trPr>
          <w:gridAfter w:val="1"/>
          <w:wAfter w:w="6" w:type="dxa"/>
          <w:trHeight w:hRule="exact" w:val="387"/>
          <w:jc w:val="center"/>
        </w:trPr>
        <w:tc>
          <w:tcPr>
            <w:tcW w:w="5219" w:type="dxa"/>
            <w:gridSpan w:val="2"/>
            <w:shd w:val="clear" w:color="auto" w:fill="E2EFD9" w:themeFill="accent6" w:themeFillTint="33"/>
            <w:vAlign w:val="center"/>
          </w:tcPr>
          <w:p w:rsidR="00EC7983" w:rsidRPr="00EC7983" w:rsidRDefault="00EC7983" w:rsidP="00EC7983">
            <w:pPr>
              <w:rPr>
                <w:rFonts w:ascii="Arial" w:hAnsi="Arial" w:cs="Arial"/>
                <w:b/>
                <w:bCs/>
                <w:sz w:val="20"/>
                <w:szCs w:val="20"/>
              </w:rPr>
            </w:pPr>
            <w:r w:rsidRPr="00EC7983">
              <w:rPr>
                <w:rFonts w:ascii="Arial" w:hAnsi="Arial" w:cs="Arial"/>
                <w:b/>
                <w:bCs/>
                <w:sz w:val="20"/>
                <w:szCs w:val="20"/>
              </w:rPr>
              <w:t>NETO ZADUŽIVANJE/FINANCIRANJE (8-5)</w:t>
            </w:r>
          </w:p>
        </w:tc>
        <w:tc>
          <w:tcPr>
            <w:tcW w:w="1920" w:type="dxa"/>
            <w:shd w:val="clear" w:color="auto" w:fill="E2EFD9" w:themeFill="accent6" w:themeFillTint="33"/>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4.492.052,00</w:t>
            </w:r>
          </w:p>
        </w:tc>
        <w:tc>
          <w:tcPr>
            <w:tcW w:w="1843" w:type="dxa"/>
            <w:shd w:val="clear" w:color="auto" w:fill="E2EFD9" w:themeFill="accent6" w:themeFillTint="33"/>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-440.201,57</w:t>
            </w:r>
          </w:p>
        </w:tc>
      </w:tr>
      <w:tr w:rsidR="00EC7983" w:rsidRPr="00EC7983" w:rsidTr="00EC7983">
        <w:trPr>
          <w:gridAfter w:val="1"/>
          <w:wAfter w:w="6" w:type="dxa"/>
          <w:trHeight w:hRule="exact" w:val="427"/>
          <w:jc w:val="center"/>
        </w:trPr>
        <w:tc>
          <w:tcPr>
            <w:tcW w:w="8982" w:type="dxa"/>
            <w:gridSpan w:val="4"/>
            <w:shd w:val="clear" w:color="auto" w:fill="F4B083" w:themeFill="accent2" w:themeFillTint="99"/>
            <w:vAlign w:val="center"/>
          </w:tcPr>
          <w:p w:rsidR="00EC7983" w:rsidRPr="00EC7983" w:rsidRDefault="00EC7983" w:rsidP="00EC7983">
            <w:pPr>
              <w:rPr>
                <w:rFonts w:ascii="Arial" w:hAnsi="Arial" w:cs="Arial"/>
                <w:sz w:val="20"/>
                <w:szCs w:val="20"/>
              </w:rPr>
            </w:pPr>
            <w:r w:rsidRPr="00EC7983">
              <w:rPr>
                <w:rFonts w:ascii="Arial" w:hAnsi="Arial" w:cs="Arial"/>
                <w:b/>
                <w:bCs/>
                <w:sz w:val="20"/>
                <w:szCs w:val="20"/>
              </w:rPr>
              <w:t>C. RASPOLOŽIVA SREDSTVA IZ PRETHODNIH GODINA</w:t>
            </w:r>
          </w:p>
        </w:tc>
      </w:tr>
      <w:tr w:rsidR="00EC7983" w:rsidRPr="00EC7983" w:rsidTr="00EC7983">
        <w:trPr>
          <w:gridAfter w:val="1"/>
          <w:wAfter w:w="6" w:type="dxa"/>
          <w:trHeight w:hRule="exact" w:val="575"/>
          <w:jc w:val="center"/>
        </w:trPr>
        <w:tc>
          <w:tcPr>
            <w:tcW w:w="525" w:type="dxa"/>
            <w:tcBorders>
              <w:right w:val="double" w:sz="4" w:space="0" w:color="auto"/>
            </w:tcBorders>
            <w:shd w:val="clear" w:color="auto" w:fill="FFFFFF"/>
            <w:vAlign w:val="center"/>
          </w:tcPr>
          <w:p w:rsidR="00EC7983" w:rsidRPr="00EC7983" w:rsidRDefault="00EC7983" w:rsidP="00EC7983">
            <w:pPr>
              <w:jc w:val="center"/>
              <w:rPr>
                <w:rFonts w:ascii="Arial" w:hAnsi="Arial" w:cs="Arial"/>
                <w:b/>
                <w:bCs/>
                <w:sz w:val="20"/>
                <w:szCs w:val="20"/>
              </w:rPr>
            </w:pPr>
            <w:r w:rsidRPr="00EC7983">
              <w:rPr>
                <w:rFonts w:ascii="Arial" w:hAnsi="Arial" w:cs="Arial"/>
                <w:b/>
                <w:bCs/>
                <w:sz w:val="20"/>
                <w:szCs w:val="20"/>
              </w:rPr>
              <w:t>9</w:t>
            </w:r>
          </w:p>
        </w:tc>
        <w:tc>
          <w:tcPr>
            <w:tcW w:w="4694" w:type="dxa"/>
            <w:tcBorders>
              <w:left w:val="double" w:sz="4" w:space="0" w:color="auto"/>
            </w:tcBorders>
            <w:shd w:val="clear" w:color="auto" w:fill="FFFFFF"/>
            <w:vAlign w:val="center"/>
          </w:tcPr>
          <w:p w:rsidR="00EC7983" w:rsidRPr="00EC7983" w:rsidRDefault="00EC7983" w:rsidP="00EC7983">
            <w:pPr>
              <w:rPr>
                <w:rFonts w:ascii="Arial" w:hAnsi="Arial" w:cs="Arial"/>
                <w:b/>
                <w:bCs/>
                <w:sz w:val="20"/>
                <w:szCs w:val="20"/>
              </w:rPr>
            </w:pPr>
            <w:r w:rsidRPr="00EC7983">
              <w:rPr>
                <w:rFonts w:ascii="Arial" w:hAnsi="Arial" w:cs="Arial"/>
                <w:b/>
                <w:bCs/>
                <w:sz w:val="20"/>
                <w:szCs w:val="20"/>
              </w:rPr>
              <w:t>VIŠAK / MANJAK IZ PRETHODNE(IH) GODINE KOJI SE POKRITI / RASPOREDITI</w:t>
            </w:r>
          </w:p>
        </w:tc>
        <w:tc>
          <w:tcPr>
            <w:tcW w:w="1920" w:type="dxa"/>
            <w:shd w:val="clear" w:color="auto" w:fill="FFFFFF"/>
            <w:vAlign w:val="center"/>
          </w:tcPr>
          <w:p w:rsidR="00EC7983" w:rsidRPr="00EC7983" w:rsidRDefault="00EC7983" w:rsidP="00EC7983">
            <w:pPr>
              <w:jc w:val="right"/>
              <w:rPr>
                <w:rFonts w:ascii="Arial" w:hAnsi="Arial" w:cs="Arial"/>
                <w:b/>
                <w:bCs/>
                <w:sz w:val="20"/>
                <w:szCs w:val="20"/>
              </w:rPr>
            </w:pPr>
            <w:r w:rsidRPr="00EC7983">
              <w:rPr>
                <w:rFonts w:ascii="Arial" w:hAnsi="Arial" w:cs="Arial"/>
                <w:b/>
                <w:bCs/>
                <w:sz w:val="20"/>
                <w:szCs w:val="20"/>
              </w:rPr>
              <w:t>-24.947.486,00</w:t>
            </w:r>
          </w:p>
        </w:tc>
        <w:tc>
          <w:tcPr>
            <w:tcW w:w="1843" w:type="dxa"/>
            <w:shd w:val="clear" w:color="auto" w:fill="FFFFFF"/>
            <w:vAlign w:val="center"/>
          </w:tcPr>
          <w:p w:rsidR="00EC7983" w:rsidRPr="00EC7983" w:rsidRDefault="00EC7983" w:rsidP="00EC7983">
            <w:pPr>
              <w:jc w:val="right"/>
              <w:rPr>
                <w:rFonts w:ascii="Arial" w:hAnsi="Arial" w:cs="Arial"/>
                <w:b/>
                <w:bCs/>
                <w:sz w:val="20"/>
                <w:szCs w:val="20"/>
              </w:rPr>
            </w:pPr>
            <w:r w:rsidRPr="00EC7983">
              <w:rPr>
                <w:rFonts w:ascii="Arial" w:hAnsi="Arial" w:cs="Arial"/>
                <w:b/>
                <w:bCs/>
                <w:sz w:val="20"/>
                <w:szCs w:val="20"/>
              </w:rPr>
              <w:t>-199.699,32</w:t>
            </w:r>
          </w:p>
        </w:tc>
      </w:tr>
      <w:tr w:rsidR="00EC7983" w:rsidRPr="00EC7983" w:rsidTr="00EC7983">
        <w:trPr>
          <w:gridAfter w:val="1"/>
          <w:wAfter w:w="6" w:type="dxa"/>
          <w:trHeight w:hRule="exact" w:val="555"/>
          <w:jc w:val="center"/>
        </w:trPr>
        <w:tc>
          <w:tcPr>
            <w:tcW w:w="8982" w:type="dxa"/>
            <w:gridSpan w:val="4"/>
            <w:shd w:val="clear" w:color="auto" w:fill="F4B083" w:themeFill="accent2" w:themeFillTint="99"/>
            <w:vAlign w:val="center"/>
          </w:tcPr>
          <w:p w:rsidR="00EC7983" w:rsidRPr="00EC7983" w:rsidRDefault="00EC7983" w:rsidP="00EC7983">
            <w:pPr>
              <w:rPr>
                <w:rFonts w:ascii="Arial" w:hAnsi="Arial" w:cs="Arial"/>
                <w:b/>
                <w:bCs/>
                <w:sz w:val="20"/>
                <w:szCs w:val="20"/>
              </w:rPr>
            </w:pPr>
            <w:r w:rsidRPr="00EC7983">
              <w:rPr>
                <w:rFonts w:ascii="Arial" w:hAnsi="Arial" w:cs="Arial"/>
                <w:b/>
                <w:bCs/>
                <w:sz w:val="20"/>
                <w:szCs w:val="20"/>
              </w:rPr>
              <w:t>VIŠAK / MANJAK + NETO ZADUŽIVANJE/FINANCIRANJE + KORIŠTENO U PRETHODNIM GODINAMA</w:t>
            </w:r>
          </w:p>
        </w:tc>
      </w:tr>
      <w:tr w:rsidR="00EC7983" w:rsidRPr="00EC7983" w:rsidTr="00EC7983">
        <w:trPr>
          <w:gridAfter w:val="1"/>
          <w:wAfter w:w="6" w:type="dxa"/>
          <w:trHeight w:hRule="exact" w:val="435"/>
          <w:jc w:val="center"/>
        </w:trPr>
        <w:tc>
          <w:tcPr>
            <w:tcW w:w="5219" w:type="dxa"/>
            <w:gridSpan w:val="2"/>
            <w:tcBorders>
              <w:bottom w:val="double" w:sz="4" w:space="0" w:color="auto"/>
            </w:tcBorders>
            <w:shd w:val="clear" w:color="auto" w:fill="E2EFD9" w:themeFill="accent6" w:themeFillTint="33"/>
            <w:vAlign w:val="center"/>
          </w:tcPr>
          <w:p w:rsidR="00EC7983" w:rsidRPr="00EC7983" w:rsidRDefault="00EC7983" w:rsidP="00EC7983">
            <w:pPr>
              <w:rPr>
                <w:rFonts w:ascii="Arial" w:hAnsi="Arial" w:cs="Arial"/>
                <w:b/>
                <w:bCs/>
                <w:sz w:val="20"/>
                <w:szCs w:val="20"/>
              </w:rPr>
            </w:pPr>
            <w:r w:rsidRPr="00EC7983">
              <w:rPr>
                <w:rFonts w:ascii="Arial" w:hAnsi="Arial" w:cs="Arial"/>
                <w:b/>
                <w:bCs/>
                <w:sz w:val="20"/>
                <w:szCs w:val="20"/>
              </w:rPr>
              <w:t>REZULTAT GODINE (6+7+8) – (3+4+5+9)</w:t>
            </w:r>
          </w:p>
        </w:tc>
        <w:tc>
          <w:tcPr>
            <w:tcW w:w="1920" w:type="dxa"/>
            <w:tcBorders>
              <w:bottom w:val="double" w:sz="4" w:space="0" w:color="auto"/>
            </w:tcBorders>
            <w:shd w:val="clear" w:color="auto" w:fill="E2EFD9" w:themeFill="accent6" w:themeFillTint="33"/>
            <w:vAlign w:val="center"/>
          </w:tcPr>
          <w:p w:rsidR="00EC7983" w:rsidRPr="00EC7983" w:rsidRDefault="00EC7983" w:rsidP="00EC7983">
            <w:pPr>
              <w:jc w:val="right"/>
              <w:rPr>
                <w:rFonts w:ascii="Arial" w:hAnsi="Arial" w:cs="Arial"/>
                <w:b/>
                <w:bCs/>
                <w:sz w:val="20"/>
                <w:szCs w:val="20"/>
              </w:rPr>
            </w:pPr>
            <w:r w:rsidRPr="00EC7983">
              <w:rPr>
                <w:rFonts w:ascii="Arial" w:hAnsi="Arial" w:cs="Arial"/>
                <w:b/>
                <w:bCs/>
                <w:sz w:val="20"/>
                <w:szCs w:val="20"/>
              </w:rPr>
              <w:t>0,00</w:t>
            </w:r>
          </w:p>
        </w:tc>
        <w:tc>
          <w:tcPr>
            <w:tcW w:w="1843" w:type="dxa"/>
            <w:tcBorders>
              <w:bottom w:val="double" w:sz="4" w:space="0" w:color="auto"/>
            </w:tcBorders>
            <w:shd w:val="clear" w:color="auto" w:fill="E2EFD9" w:themeFill="accent6" w:themeFillTint="33"/>
            <w:vAlign w:val="center"/>
          </w:tcPr>
          <w:p w:rsidR="00EC7983" w:rsidRPr="00EC7983" w:rsidRDefault="00EC7983" w:rsidP="00EC7983">
            <w:pPr>
              <w:jc w:val="right"/>
              <w:rPr>
                <w:rFonts w:ascii="Arial" w:hAnsi="Arial" w:cs="Arial"/>
                <w:b/>
                <w:bCs/>
                <w:sz w:val="20"/>
                <w:szCs w:val="20"/>
              </w:rPr>
            </w:pPr>
            <w:r w:rsidRPr="00EC7983">
              <w:rPr>
                <w:rFonts w:ascii="Arial" w:hAnsi="Arial" w:cs="Arial"/>
                <w:b/>
                <w:bCs/>
                <w:sz w:val="20"/>
                <w:szCs w:val="20"/>
              </w:rPr>
              <w:t>9.840.584,12</w:t>
            </w:r>
          </w:p>
        </w:tc>
      </w:tr>
    </w:tbl>
    <w:p w:rsidR="00EC7983" w:rsidRPr="00EC7983" w:rsidRDefault="00EC7983" w:rsidP="00EC7983">
      <w:pPr>
        <w:rPr>
          <w:rFonts w:ascii="Arial" w:hAnsi="Arial" w:cs="Arial"/>
          <w:bCs/>
          <w:sz w:val="20"/>
          <w:szCs w:val="20"/>
        </w:rPr>
      </w:pPr>
    </w:p>
    <w:p w:rsidR="00EC7983" w:rsidRPr="00EC7983" w:rsidRDefault="00EC7983" w:rsidP="00EC7983">
      <w:pPr>
        <w:jc w:val="center"/>
        <w:rPr>
          <w:rFonts w:ascii="Arial" w:hAnsi="Arial" w:cs="Arial"/>
          <w:b/>
          <w:sz w:val="20"/>
          <w:szCs w:val="20"/>
        </w:rPr>
      </w:pPr>
      <w:r w:rsidRPr="00EC7983">
        <w:rPr>
          <w:rFonts w:ascii="Arial" w:hAnsi="Arial" w:cs="Arial"/>
          <w:b/>
          <w:sz w:val="20"/>
          <w:szCs w:val="20"/>
        </w:rPr>
        <w:t>Članak 2.</w:t>
      </w:r>
    </w:p>
    <w:p w:rsidR="00EC7983" w:rsidRPr="00EC7983" w:rsidRDefault="00EC7983" w:rsidP="00EC7983">
      <w:pPr>
        <w:jc w:val="both"/>
        <w:rPr>
          <w:rFonts w:ascii="Arial" w:hAnsi="Arial" w:cs="Arial"/>
          <w:sz w:val="20"/>
          <w:szCs w:val="20"/>
        </w:rPr>
      </w:pPr>
      <w:r w:rsidRPr="00EC7983">
        <w:rPr>
          <w:rFonts w:ascii="Arial" w:hAnsi="Arial" w:cs="Arial"/>
          <w:sz w:val="20"/>
          <w:szCs w:val="20"/>
        </w:rPr>
        <w:t xml:space="preserve">Ukupni prihodi i primici ostvareni su u iznosu od </w:t>
      </w:r>
      <w:r w:rsidRPr="00EC7983">
        <w:rPr>
          <w:rFonts w:ascii="Arial" w:hAnsi="Arial" w:cs="Arial"/>
          <w:b/>
          <w:sz w:val="20"/>
          <w:szCs w:val="20"/>
        </w:rPr>
        <w:t>73.962.874,21 kuna</w:t>
      </w:r>
      <w:r w:rsidRPr="00EC7983">
        <w:rPr>
          <w:rFonts w:ascii="Arial" w:hAnsi="Arial" w:cs="Arial"/>
          <w:sz w:val="20"/>
          <w:szCs w:val="20"/>
        </w:rPr>
        <w:t xml:space="preserve">, a ukupni rashodi i izdaci u iznosu </w:t>
      </w:r>
      <w:r w:rsidRPr="00EC7983">
        <w:rPr>
          <w:rFonts w:ascii="Arial" w:hAnsi="Arial" w:cs="Arial"/>
          <w:b/>
          <w:bCs/>
          <w:sz w:val="20"/>
          <w:szCs w:val="20"/>
        </w:rPr>
        <w:t>63.922.590,77</w:t>
      </w:r>
      <w:r w:rsidRPr="00EC7983">
        <w:rPr>
          <w:rFonts w:ascii="Arial" w:hAnsi="Arial" w:cs="Arial"/>
          <w:b/>
          <w:sz w:val="20"/>
          <w:szCs w:val="20"/>
        </w:rPr>
        <w:t xml:space="preserve"> kuna, </w:t>
      </w:r>
      <w:r w:rsidRPr="00EC7983">
        <w:rPr>
          <w:rFonts w:ascii="Arial" w:hAnsi="Arial" w:cs="Arial"/>
          <w:sz w:val="20"/>
          <w:szCs w:val="20"/>
        </w:rPr>
        <w:t xml:space="preserve">odnosno ostvaren je </w:t>
      </w:r>
      <w:r w:rsidRPr="00EC7983">
        <w:rPr>
          <w:rFonts w:ascii="Arial" w:hAnsi="Arial" w:cs="Arial"/>
          <w:bCs/>
          <w:sz w:val="20"/>
          <w:szCs w:val="20"/>
        </w:rPr>
        <w:t>višak prihoda i primitaka nad rashodima i izdacima</w:t>
      </w:r>
      <w:r w:rsidRPr="00EC7983">
        <w:rPr>
          <w:rFonts w:ascii="Arial" w:hAnsi="Arial" w:cs="Arial"/>
          <w:sz w:val="20"/>
          <w:szCs w:val="20"/>
        </w:rPr>
        <w:t xml:space="preserve"> u iznosu od </w:t>
      </w:r>
      <w:r w:rsidRPr="00EC7983">
        <w:rPr>
          <w:rFonts w:ascii="Arial" w:hAnsi="Arial" w:cs="Arial"/>
          <w:b/>
          <w:sz w:val="20"/>
          <w:szCs w:val="20"/>
        </w:rPr>
        <w:t>10.040.283,44 kuna</w:t>
      </w:r>
      <w:r w:rsidRPr="00EC7983">
        <w:rPr>
          <w:rFonts w:ascii="Arial" w:hAnsi="Arial" w:cs="Arial"/>
          <w:sz w:val="20"/>
          <w:szCs w:val="20"/>
        </w:rPr>
        <w:t xml:space="preserve">, a konačan rezultat na kraju godine iznosi </w:t>
      </w:r>
      <w:r w:rsidRPr="00EC7983">
        <w:rPr>
          <w:rFonts w:ascii="Arial" w:hAnsi="Arial" w:cs="Arial"/>
          <w:b/>
          <w:bCs/>
          <w:sz w:val="20"/>
          <w:szCs w:val="20"/>
        </w:rPr>
        <w:t>9.840.584,12</w:t>
      </w:r>
      <w:r w:rsidRPr="00EC7983">
        <w:rPr>
          <w:rFonts w:ascii="Arial" w:hAnsi="Arial" w:cs="Arial"/>
          <w:sz w:val="20"/>
          <w:szCs w:val="20"/>
        </w:rPr>
        <w:t xml:space="preserve"> </w:t>
      </w:r>
      <w:r w:rsidRPr="00EC7983">
        <w:rPr>
          <w:rFonts w:ascii="Arial" w:hAnsi="Arial" w:cs="Arial"/>
          <w:b/>
          <w:bCs/>
          <w:sz w:val="20"/>
          <w:szCs w:val="20"/>
        </w:rPr>
        <w:t>kuna</w:t>
      </w:r>
      <w:r w:rsidRPr="00EC7983">
        <w:rPr>
          <w:rFonts w:ascii="Arial" w:hAnsi="Arial" w:cs="Arial"/>
          <w:sz w:val="20"/>
          <w:szCs w:val="20"/>
        </w:rPr>
        <w:t xml:space="preserve"> koji predstavlja </w:t>
      </w:r>
      <w:r w:rsidRPr="00EC7983">
        <w:rPr>
          <w:rFonts w:ascii="Arial" w:hAnsi="Arial" w:cs="Arial"/>
          <w:b/>
          <w:bCs/>
          <w:sz w:val="20"/>
          <w:szCs w:val="20"/>
        </w:rPr>
        <w:t>ukupan višak prihoda i primitaka nad rashodima i izdacima</w:t>
      </w:r>
      <w:r w:rsidRPr="00EC7983">
        <w:rPr>
          <w:rFonts w:ascii="Arial" w:hAnsi="Arial" w:cs="Arial"/>
          <w:sz w:val="20"/>
          <w:szCs w:val="20"/>
        </w:rPr>
        <w:t xml:space="preserve"> kojim će se podmiriti manjak prihoda i primitaka nad rashodima i izdacima iz prethodnih razdoblja.</w:t>
      </w:r>
    </w:p>
    <w:p w:rsidR="00EC7983" w:rsidRPr="00EC7983" w:rsidRDefault="00EC7983" w:rsidP="00EC7983">
      <w:pPr>
        <w:jc w:val="both"/>
        <w:rPr>
          <w:rFonts w:ascii="Arial" w:hAnsi="Arial" w:cs="Arial"/>
          <w:sz w:val="20"/>
          <w:szCs w:val="20"/>
        </w:rPr>
      </w:pPr>
    </w:p>
    <w:p w:rsidR="00EC7983" w:rsidRPr="00EC7983" w:rsidRDefault="00EC7983" w:rsidP="00EC7983">
      <w:pPr>
        <w:jc w:val="center"/>
        <w:rPr>
          <w:rFonts w:ascii="Arial" w:hAnsi="Arial" w:cs="Arial"/>
          <w:b/>
          <w:sz w:val="20"/>
          <w:szCs w:val="20"/>
        </w:rPr>
      </w:pPr>
      <w:r w:rsidRPr="00EC7983">
        <w:rPr>
          <w:rFonts w:ascii="Arial" w:hAnsi="Arial" w:cs="Arial"/>
          <w:b/>
          <w:sz w:val="20"/>
          <w:szCs w:val="20"/>
        </w:rPr>
        <w:lastRenderedPageBreak/>
        <w:t>Članak 3.</w:t>
      </w:r>
    </w:p>
    <w:p w:rsidR="00EC7983" w:rsidRPr="00EC7983" w:rsidRDefault="00EC7983" w:rsidP="00EC7983">
      <w:pPr>
        <w:jc w:val="both"/>
        <w:rPr>
          <w:rFonts w:ascii="Arial" w:hAnsi="Arial" w:cs="Arial"/>
          <w:sz w:val="20"/>
          <w:szCs w:val="20"/>
        </w:rPr>
      </w:pPr>
      <w:r w:rsidRPr="00EC7983">
        <w:rPr>
          <w:rFonts w:ascii="Arial" w:hAnsi="Arial" w:cs="Arial"/>
          <w:sz w:val="20"/>
          <w:szCs w:val="20"/>
        </w:rPr>
        <w:t>Ovaj Godišnji izvještaj o izvršenju Proračuna Grada Biograda na Moru za 2022. godinu stupa na snagu osmog dana od objave u "Službenom glasniku Grada Biograda na Moru".</w:t>
      </w:r>
    </w:p>
    <w:p w:rsidR="00EC7983" w:rsidRPr="00EC7983" w:rsidRDefault="00EC7983" w:rsidP="00EC7983">
      <w:pPr>
        <w:rPr>
          <w:rFonts w:ascii="Arial" w:hAnsi="Arial" w:cs="Arial"/>
          <w:sz w:val="20"/>
          <w:szCs w:val="20"/>
        </w:rPr>
      </w:pPr>
    </w:p>
    <w:p w:rsidR="00EC7983" w:rsidRPr="00EC7983" w:rsidRDefault="00EC7983" w:rsidP="00EC7983">
      <w:pPr>
        <w:jc w:val="both"/>
        <w:rPr>
          <w:rFonts w:ascii="Arial" w:hAnsi="Arial" w:cs="Arial"/>
          <w:bCs/>
          <w:sz w:val="20"/>
          <w:szCs w:val="20"/>
          <w:lang w:eastAsia="x-none"/>
        </w:rPr>
      </w:pPr>
      <w:r w:rsidRPr="00EC7983">
        <w:rPr>
          <w:rFonts w:ascii="Arial" w:hAnsi="Arial" w:cs="Arial"/>
          <w:bCs/>
          <w:sz w:val="20"/>
          <w:szCs w:val="20"/>
          <w:lang w:val="x-none" w:eastAsia="x-none"/>
        </w:rPr>
        <w:t>KLASA: 400-01/2</w:t>
      </w:r>
      <w:r w:rsidRPr="00EC7983">
        <w:rPr>
          <w:rFonts w:ascii="Arial" w:hAnsi="Arial" w:cs="Arial"/>
          <w:bCs/>
          <w:sz w:val="20"/>
          <w:szCs w:val="20"/>
          <w:lang w:eastAsia="x-none"/>
        </w:rPr>
        <w:t>3</w:t>
      </w:r>
      <w:r w:rsidRPr="00EC7983">
        <w:rPr>
          <w:rFonts w:ascii="Arial" w:hAnsi="Arial" w:cs="Arial"/>
          <w:bCs/>
          <w:sz w:val="20"/>
          <w:szCs w:val="20"/>
          <w:lang w:val="x-none" w:eastAsia="x-none"/>
        </w:rPr>
        <w:t>-0</w:t>
      </w:r>
      <w:r w:rsidRPr="00EC7983">
        <w:rPr>
          <w:rFonts w:ascii="Arial" w:hAnsi="Arial" w:cs="Arial"/>
          <w:bCs/>
          <w:sz w:val="20"/>
          <w:szCs w:val="20"/>
          <w:lang w:eastAsia="x-none"/>
        </w:rPr>
        <w:t>4</w:t>
      </w:r>
      <w:r w:rsidRPr="00EC7983">
        <w:rPr>
          <w:rFonts w:ascii="Arial" w:hAnsi="Arial" w:cs="Arial"/>
          <w:bCs/>
          <w:sz w:val="20"/>
          <w:szCs w:val="20"/>
          <w:lang w:val="x-none" w:eastAsia="x-none"/>
        </w:rPr>
        <w:t>/0</w:t>
      </w:r>
      <w:r w:rsidRPr="00EC7983">
        <w:rPr>
          <w:rFonts w:ascii="Arial" w:hAnsi="Arial" w:cs="Arial"/>
          <w:bCs/>
          <w:sz w:val="20"/>
          <w:szCs w:val="20"/>
          <w:lang w:eastAsia="x-none"/>
        </w:rPr>
        <w:t>1</w:t>
      </w:r>
    </w:p>
    <w:p w:rsidR="00EC7983" w:rsidRPr="00EC7983" w:rsidRDefault="00EC7983" w:rsidP="00EC7983">
      <w:pPr>
        <w:jc w:val="both"/>
        <w:rPr>
          <w:rFonts w:ascii="Arial" w:hAnsi="Arial" w:cs="Arial"/>
          <w:bCs/>
          <w:sz w:val="20"/>
          <w:szCs w:val="20"/>
          <w:lang w:eastAsia="x-none"/>
        </w:rPr>
      </w:pPr>
      <w:r w:rsidRPr="00EC7983">
        <w:rPr>
          <w:rFonts w:ascii="Arial" w:hAnsi="Arial" w:cs="Arial"/>
          <w:bCs/>
          <w:sz w:val="20"/>
          <w:szCs w:val="20"/>
          <w:lang w:val="x-none" w:eastAsia="x-none"/>
        </w:rPr>
        <w:t>URBROJ: 2198-16-02-2</w:t>
      </w:r>
      <w:r w:rsidRPr="00EC7983">
        <w:rPr>
          <w:rFonts w:ascii="Arial" w:hAnsi="Arial" w:cs="Arial"/>
          <w:bCs/>
          <w:sz w:val="20"/>
          <w:szCs w:val="20"/>
          <w:lang w:eastAsia="x-none"/>
        </w:rPr>
        <w:t>3</w:t>
      </w:r>
      <w:r w:rsidRPr="00EC7983">
        <w:rPr>
          <w:rFonts w:ascii="Arial" w:hAnsi="Arial" w:cs="Arial"/>
          <w:bCs/>
          <w:sz w:val="20"/>
          <w:szCs w:val="20"/>
          <w:lang w:val="x-none" w:eastAsia="x-none"/>
        </w:rPr>
        <w:t>-</w:t>
      </w:r>
      <w:r w:rsidRPr="00EC7983">
        <w:rPr>
          <w:rFonts w:ascii="Arial" w:hAnsi="Arial" w:cs="Arial"/>
          <w:bCs/>
          <w:sz w:val="20"/>
          <w:szCs w:val="20"/>
          <w:lang w:eastAsia="x-none"/>
        </w:rPr>
        <w:t>6</w:t>
      </w:r>
    </w:p>
    <w:p w:rsidR="00EC7983" w:rsidRPr="00EC7983" w:rsidRDefault="00EC7983" w:rsidP="00EC7983">
      <w:pPr>
        <w:jc w:val="both"/>
        <w:rPr>
          <w:rFonts w:ascii="Arial" w:hAnsi="Arial" w:cs="Arial"/>
          <w:bCs/>
          <w:sz w:val="20"/>
          <w:szCs w:val="20"/>
          <w:lang w:eastAsia="hr-HR"/>
        </w:rPr>
      </w:pPr>
      <w:r w:rsidRPr="00EC7983">
        <w:rPr>
          <w:rFonts w:ascii="Arial" w:hAnsi="Arial" w:cs="Arial"/>
          <w:bCs/>
          <w:sz w:val="20"/>
          <w:szCs w:val="20"/>
          <w:lang w:eastAsia="hr-HR"/>
        </w:rPr>
        <w:t>Biograd na Moru, 13. lipnja 2023. godine</w:t>
      </w:r>
    </w:p>
    <w:p w:rsidR="00EC7983" w:rsidRPr="00EC7983" w:rsidRDefault="00EC7983" w:rsidP="00EC7983">
      <w:pPr>
        <w:rPr>
          <w:rFonts w:ascii="Arial" w:hAnsi="Arial" w:cs="Arial"/>
          <w:sz w:val="20"/>
          <w:szCs w:val="20"/>
        </w:rPr>
      </w:pPr>
    </w:p>
    <w:p w:rsidR="00EC7983" w:rsidRPr="00EC7983" w:rsidRDefault="00EC7983" w:rsidP="00EC7983">
      <w:pPr>
        <w:jc w:val="center"/>
        <w:rPr>
          <w:rFonts w:ascii="Arial" w:hAnsi="Arial" w:cs="Arial"/>
          <w:b/>
          <w:sz w:val="20"/>
          <w:szCs w:val="20"/>
        </w:rPr>
      </w:pPr>
      <w:r w:rsidRPr="00EC7983">
        <w:rPr>
          <w:rFonts w:ascii="Arial" w:hAnsi="Arial" w:cs="Arial"/>
          <w:b/>
          <w:sz w:val="20"/>
          <w:szCs w:val="20"/>
        </w:rPr>
        <w:t>GRADSKO VIJEĆE GRADA BIOGRADA NA MORU</w:t>
      </w:r>
    </w:p>
    <w:p w:rsidR="00EC7983" w:rsidRPr="00EC7983" w:rsidRDefault="00EC7983" w:rsidP="00EC7983">
      <w:pPr>
        <w:ind w:left="4248" w:firstLine="708"/>
        <w:rPr>
          <w:rFonts w:ascii="Arial" w:hAnsi="Arial" w:cs="Arial"/>
          <w:b/>
          <w:sz w:val="20"/>
          <w:szCs w:val="20"/>
        </w:rPr>
      </w:pPr>
    </w:p>
    <w:p w:rsidR="00EC7983" w:rsidRPr="00EC7983" w:rsidRDefault="00EC7983" w:rsidP="00EC7983">
      <w:pPr>
        <w:ind w:left="5664"/>
        <w:jc w:val="center"/>
        <w:rPr>
          <w:rFonts w:ascii="Arial" w:hAnsi="Arial" w:cs="Arial"/>
          <w:b/>
          <w:sz w:val="20"/>
          <w:szCs w:val="20"/>
        </w:rPr>
      </w:pPr>
      <w:r w:rsidRPr="00EC7983">
        <w:rPr>
          <w:rFonts w:ascii="Arial" w:hAnsi="Arial" w:cs="Arial"/>
          <w:b/>
          <w:sz w:val="20"/>
          <w:szCs w:val="20"/>
        </w:rPr>
        <w:t>Predsjednica Gradskog vijeća:</w:t>
      </w:r>
    </w:p>
    <w:p w:rsidR="00EC7983" w:rsidRPr="00EC7983" w:rsidRDefault="00EC7983" w:rsidP="00EC7983">
      <w:pPr>
        <w:ind w:left="5664"/>
        <w:jc w:val="center"/>
        <w:rPr>
          <w:rFonts w:ascii="Arial" w:hAnsi="Arial" w:cs="Arial"/>
          <w:b/>
          <w:sz w:val="20"/>
          <w:szCs w:val="20"/>
        </w:rPr>
      </w:pPr>
      <w:r w:rsidRPr="00EC7983">
        <w:rPr>
          <w:rFonts w:ascii="Arial" w:hAnsi="Arial" w:cs="Arial"/>
          <w:b/>
          <w:sz w:val="20"/>
          <w:szCs w:val="20"/>
        </w:rPr>
        <w:t>Ivana Stamičar</w:t>
      </w:r>
    </w:p>
    <w:p w:rsidR="000A6DC7" w:rsidRPr="00EC7983" w:rsidRDefault="000A6DC7" w:rsidP="009E64C9">
      <w:pPr>
        <w:jc w:val="center"/>
        <w:rPr>
          <w:rFonts w:ascii="Arial" w:hAnsi="Arial" w:cs="Arial"/>
          <w:sz w:val="20"/>
          <w:szCs w:val="20"/>
          <w:lang w:eastAsia="hr-HR"/>
        </w:rPr>
      </w:pPr>
    </w:p>
    <w:p w:rsidR="000A6DC7" w:rsidRDefault="000A6DC7" w:rsidP="000A6DC7">
      <w:pPr>
        <w:jc w:val="center"/>
        <w:rPr>
          <w:rFonts w:ascii="Arial" w:hAnsi="Arial" w:cs="Arial"/>
        </w:rPr>
      </w:pPr>
      <w:r>
        <w:rPr>
          <w:rFonts w:ascii="Arial" w:hAnsi="Arial" w:cs="Arial"/>
        </w:rPr>
        <w:t>***</w:t>
      </w:r>
    </w:p>
    <w:p w:rsidR="00EC7983" w:rsidRDefault="00EC7983"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4419D9" w:rsidRDefault="004419D9" w:rsidP="000A6DC7">
      <w:pPr>
        <w:jc w:val="center"/>
        <w:rPr>
          <w:rFonts w:ascii="Arial" w:hAnsi="Arial" w:cs="Arial"/>
        </w:rPr>
      </w:pPr>
    </w:p>
    <w:p w:rsidR="00EC7983" w:rsidRDefault="00EC7983" w:rsidP="000A6DC7">
      <w:pPr>
        <w:jc w:val="center"/>
        <w:rPr>
          <w:rFonts w:ascii="Arial" w:eastAsia="Calibri" w:hAnsi="Arial" w:cs="Arial"/>
          <w:szCs w:val="32"/>
        </w:rPr>
      </w:pPr>
    </w:p>
    <w:p w:rsidR="004419D9" w:rsidRPr="002B6238" w:rsidRDefault="004419D9"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5"/>
        <w:gridCol w:w="7556"/>
      </w:tblGrid>
      <w:tr w:rsidR="00EC7983" w:rsidRPr="002F1114" w:rsidTr="00EC7983">
        <w:tc>
          <w:tcPr>
            <w:tcW w:w="1526" w:type="dxa"/>
          </w:tcPr>
          <w:p w:rsidR="00EC7983" w:rsidRPr="002F1114" w:rsidRDefault="00EC7983" w:rsidP="00EC7983">
            <w:pPr>
              <w:pStyle w:val="Bezproreda"/>
              <w:jc w:val="center"/>
              <w:rPr>
                <w:rFonts w:ascii="Arial" w:hAnsi="Arial" w:cs="Arial"/>
                <w:noProof/>
                <w:color w:val="BFBFBF" w:themeColor="background1" w:themeShade="BF"/>
                <w:sz w:val="20"/>
                <w:szCs w:val="20"/>
                <w:lang w:eastAsia="hr-HR"/>
              </w:rPr>
            </w:pPr>
          </w:p>
          <w:p w:rsidR="00EC7983" w:rsidRPr="002F1114" w:rsidRDefault="00EC7983" w:rsidP="00EC7983">
            <w:pPr>
              <w:pStyle w:val="Bezproreda"/>
              <w:jc w:val="center"/>
              <w:rPr>
                <w:rFonts w:ascii="Arial" w:hAnsi="Arial" w:cs="Arial"/>
                <w:color w:val="BFBFBF" w:themeColor="background1" w:themeShade="BF"/>
                <w:sz w:val="20"/>
                <w:szCs w:val="20"/>
              </w:rPr>
            </w:pPr>
            <w:r w:rsidRPr="002F1114">
              <w:rPr>
                <w:rFonts w:ascii="Arial" w:hAnsi="Arial" w:cs="Arial"/>
                <w:noProof/>
                <w:color w:val="BFBFBF" w:themeColor="background1" w:themeShade="BF"/>
                <w:sz w:val="20"/>
                <w:szCs w:val="20"/>
              </w:rPr>
              <w:drawing>
                <wp:inline distT="0" distB="0" distL="0" distR="0" wp14:anchorId="48C07A41" wp14:editId="1B1EEB8E">
                  <wp:extent cx="409575" cy="447675"/>
                  <wp:effectExtent l="0" t="0" r="9525" b="9525"/>
                  <wp:docPr id="3" name="Slika 3"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2F1114" w:rsidRDefault="00EC7983" w:rsidP="00EC7983">
            <w:pPr>
              <w:pStyle w:val="Bezproreda"/>
              <w:jc w:val="center"/>
              <w:rPr>
                <w:rFonts w:ascii="Arial" w:hAnsi="Arial" w:cs="Arial"/>
                <w:b/>
                <w:color w:val="BFBFBF" w:themeColor="background1" w:themeShade="BF"/>
                <w:sz w:val="20"/>
                <w:szCs w:val="20"/>
              </w:rPr>
            </w:pPr>
          </w:p>
          <w:p w:rsidR="00EC7983" w:rsidRPr="002F1114" w:rsidRDefault="00EC7983" w:rsidP="00EC7983">
            <w:pPr>
              <w:pStyle w:val="Bezproreda"/>
              <w:jc w:val="center"/>
              <w:rPr>
                <w:rFonts w:ascii="Arial" w:hAnsi="Arial" w:cs="Arial"/>
                <w:b/>
                <w:sz w:val="20"/>
                <w:szCs w:val="20"/>
              </w:rPr>
            </w:pPr>
            <w:r w:rsidRPr="002F1114">
              <w:rPr>
                <w:rFonts w:ascii="Arial" w:hAnsi="Arial" w:cs="Arial"/>
                <w:b/>
                <w:sz w:val="20"/>
                <w:szCs w:val="20"/>
              </w:rPr>
              <w:t>REPUBLIKA HRVATSKA</w:t>
            </w:r>
          </w:p>
          <w:p w:rsidR="00EC7983" w:rsidRPr="002F1114" w:rsidRDefault="00EC7983" w:rsidP="00EC7983">
            <w:pPr>
              <w:pStyle w:val="Bezproreda"/>
              <w:jc w:val="center"/>
              <w:rPr>
                <w:rFonts w:ascii="Arial" w:hAnsi="Arial" w:cs="Arial"/>
                <w:b/>
                <w:sz w:val="20"/>
                <w:szCs w:val="20"/>
              </w:rPr>
            </w:pPr>
            <w:r w:rsidRPr="002F1114">
              <w:rPr>
                <w:rFonts w:ascii="Arial" w:hAnsi="Arial" w:cs="Arial"/>
                <w:b/>
                <w:sz w:val="20"/>
                <w:szCs w:val="20"/>
              </w:rPr>
              <w:t>ZADARSKA ŽUPANIJA</w:t>
            </w:r>
          </w:p>
          <w:p w:rsidR="00EC7983" w:rsidRPr="002F1114" w:rsidRDefault="00EC7983" w:rsidP="00EC7983">
            <w:pPr>
              <w:pStyle w:val="Bezproreda"/>
              <w:jc w:val="center"/>
              <w:rPr>
                <w:rFonts w:ascii="Arial" w:hAnsi="Arial" w:cs="Arial"/>
                <w:b/>
                <w:sz w:val="20"/>
                <w:szCs w:val="20"/>
              </w:rPr>
            </w:pPr>
            <w:r w:rsidRPr="002F1114">
              <w:rPr>
                <w:rFonts w:ascii="Arial" w:hAnsi="Arial" w:cs="Arial"/>
                <w:b/>
                <w:sz w:val="20"/>
                <w:szCs w:val="20"/>
              </w:rPr>
              <w:t>GRAD BIOGRAD NA MORU</w:t>
            </w:r>
          </w:p>
          <w:p w:rsidR="00EC7983" w:rsidRPr="002F1114" w:rsidRDefault="00EC7983" w:rsidP="00EC7983">
            <w:pPr>
              <w:pStyle w:val="Bezproreda"/>
              <w:jc w:val="center"/>
              <w:rPr>
                <w:rFonts w:ascii="Arial" w:hAnsi="Arial" w:cs="Arial"/>
                <w:color w:val="BFBFBF" w:themeColor="background1" w:themeShade="BF"/>
                <w:sz w:val="20"/>
                <w:szCs w:val="20"/>
              </w:rPr>
            </w:pPr>
          </w:p>
        </w:tc>
      </w:tr>
    </w:tbl>
    <w:p w:rsidR="00EC7983" w:rsidRPr="002F1114" w:rsidRDefault="00EC7983" w:rsidP="00EC7983">
      <w:pPr>
        <w:rPr>
          <w:rFonts w:ascii="Arial" w:hAnsi="Arial" w:cs="Arial"/>
          <w:sz w:val="20"/>
          <w:szCs w:val="20"/>
        </w:rPr>
      </w:pPr>
    </w:p>
    <w:p w:rsidR="00EC7983" w:rsidRPr="002F1114" w:rsidRDefault="00EC7983" w:rsidP="00EC7983">
      <w:pPr>
        <w:rPr>
          <w:rFonts w:ascii="Arial" w:hAnsi="Arial" w:cs="Arial"/>
          <w:sz w:val="20"/>
          <w:szCs w:val="20"/>
        </w:rPr>
      </w:pPr>
    </w:p>
    <w:p w:rsidR="00EC7983" w:rsidRPr="002F1114" w:rsidRDefault="00EC7983" w:rsidP="00EC7983">
      <w:pPr>
        <w:rPr>
          <w:rFonts w:ascii="Arial" w:hAnsi="Arial" w:cs="Arial"/>
          <w:sz w:val="20"/>
          <w:szCs w:val="20"/>
        </w:rPr>
      </w:pPr>
    </w:p>
    <w:p w:rsidR="00EC7983" w:rsidRPr="002F1114"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EC7983" w:rsidRPr="002F1114" w:rsidRDefault="00EC7983" w:rsidP="00EC7983">
      <w:pPr>
        <w:rPr>
          <w:rFonts w:ascii="Arial" w:hAnsi="Arial" w:cs="Arial"/>
          <w:sz w:val="20"/>
          <w:szCs w:val="20"/>
        </w:rPr>
      </w:pPr>
    </w:p>
    <w:p w:rsidR="00EC7983" w:rsidRPr="002F1114"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86"/>
        <w:gridCol w:w="6875"/>
      </w:tblGrid>
      <w:tr w:rsidR="00EC7983" w:rsidRPr="002F1114" w:rsidTr="00EC7983">
        <w:tc>
          <w:tcPr>
            <w:tcW w:w="2235" w:type="dxa"/>
            <w:vMerge w:val="restart"/>
            <w:vAlign w:val="center"/>
          </w:tcPr>
          <w:p w:rsidR="00EC7983" w:rsidRPr="002F1114" w:rsidRDefault="00EC7983" w:rsidP="00EC7983">
            <w:pPr>
              <w:pStyle w:val="Bezproreda"/>
              <w:jc w:val="center"/>
              <w:rPr>
                <w:rFonts w:ascii="Arial" w:hAnsi="Arial" w:cs="Arial"/>
                <w:b/>
                <w:sz w:val="20"/>
                <w:szCs w:val="20"/>
              </w:rPr>
            </w:pPr>
            <w:r w:rsidRPr="002F1114">
              <w:rPr>
                <w:rFonts w:ascii="Arial" w:hAnsi="Arial" w:cs="Arial"/>
                <w:b/>
                <w:sz w:val="20"/>
                <w:szCs w:val="20"/>
              </w:rPr>
              <w:t>Prilog: 1</w:t>
            </w:r>
          </w:p>
        </w:tc>
        <w:tc>
          <w:tcPr>
            <w:tcW w:w="7053" w:type="dxa"/>
          </w:tcPr>
          <w:p w:rsidR="00EC7983" w:rsidRPr="002F1114" w:rsidRDefault="00EC7983" w:rsidP="00EC7983">
            <w:pPr>
              <w:pStyle w:val="Bezproreda"/>
              <w:rPr>
                <w:rFonts w:ascii="Arial" w:hAnsi="Arial" w:cs="Arial"/>
                <w:b/>
                <w:sz w:val="20"/>
                <w:szCs w:val="20"/>
              </w:rPr>
            </w:pPr>
          </w:p>
          <w:p w:rsidR="00EC7983" w:rsidRPr="002F1114" w:rsidRDefault="00EC7983" w:rsidP="00EC7983">
            <w:pPr>
              <w:pStyle w:val="Bezproreda"/>
              <w:rPr>
                <w:rFonts w:ascii="Arial" w:hAnsi="Arial" w:cs="Arial"/>
                <w:b/>
                <w:sz w:val="20"/>
                <w:szCs w:val="20"/>
              </w:rPr>
            </w:pPr>
            <w:r w:rsidRPr="002F1114">
              <w:rPr>
                <w:rFonts w:ascii="Arial" w:hAnsi="Arial" w:cs="Arial"/>
                <w:b/>
                <w:sz w:val="20"/>
                <w:szCs w:val="20"/>
              </w:rPr>
              <w:t>GODIŠNJI IZVJEŠTAJ O IZVRŠENJU PRORAČUNA GRADA BIOGRADA NA MORU ZA 2022. GODINU</w:t>
            </w:r>
          </w:p>
          <w:p w:rsidR="00EC7983" w:rsidRPr="002F1114" w:rsidRDefault="00EC7983" w:rsidP="00EC7983">
            <w:pPr>
              <w:pStyle w:val="Bezproreda"/>
              <w:rPr>
                <w:rFonts w:ascii="Arial" w:hAnsi="Arial" w:cs="Arial"/>
                <w:b/>
                <w:sz w:val="20"/>
                <w:szCs w:val="20"/>
              </w:rPr>
            </w:pPr>
          </w:p>
        </w:tc>
      </w:tr>
      <w:tr w:rsidR="00EC7983" w:rsidRPr="002F1114" w:rsidTr="00EC7983">
        <w:tc>
          <w:tcPr>
            <w:tcW w:w="2235" w:type="dxa"/>
            <w:vMerge/>
          </w:tcPr>
          <w:p w:rsidR="00EC7983" w:rsidRPr="002F1114" w:rsidRDefault="00EC7983" w:rsidP="00EC7983">
            <w:pPr>
              <w:pStyle w:val="Bezproreda"/>
              <w:rPr>
                <w:rFonts w:ascii="Arial" w:hAnsi="Arial" w:cs="Arial"/>
                <w:sz w:val="20"/>
                <w:szCs w:val="20"/>
              </w:rPr>
            </w:pPr>
          </w:p>
        </w:tc>
        <w:tc>
          <w:tcPr>
            <w:tcW w:w="7053" w:type="dxa"/>
          </w:tcPr>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b/>
                <w:sz w:val="20"/>
                <w:szCs w:val="20"/>
              </w:rPr>
            </w:pPr>
            <w:r w:rsidRPr="002F1114">
              <w:rPr>
                <w:rFonts w:ascii="Arial" w:hAnsi="Arial" w:cs="Arial"/>
                <w:b/>
                <w:sz w:val="20"/>
                <w:szCs w:val="20"/>
              </w:rPr>
              <w:t>Opći dio proračuna za 2022. godinu</w:t>
            </w:r>
          </w:p>
          <w:p w:rsidR="00EC7983" w:rsidRPr="002F1114" w:rsidRDefault="00EC7983" w:rsidP="00BD6122">
            <w:pPr>
              <w:pStyle w:val="Bezproreda"/>
              <w:numPr>
                <w:ilvl w:val="0"/>
                <w:numId w:val="18"/>
              </w:numPr>
              <w:rPr>
                <w:rFonts w:ascii="Arial" w:hAnsi="Arial" w:cs="Arial"/>
                <w:b/>
                <w:sz w:val="20"/>
                <w:szCs w:val="20"/>
              </w:rPr>
            </w:pPr>
            <w:r w:rsidRPr="002F1114">
              <w:rPr>
                <w:rFonts w:ascii="Arial" w:hAnsi="Arial" w:cs="Arial"/>
                <w:b/>
                <w:sz w:val="20"/>
                <w:szCs w:val="20"/>
              </w:rPr>
              <w:t xml:space="preserve">Račun prihoda i rashoda </w:t>
            </w:r>
          </w:p>
          <w:p w:rsidR="00EC7983" w:rsidRPr="002F1114" w:rsidRDefault="00EC7983" w:rsidP="00BD6122">
            <w:pPr>
              <w:pStyle w:val="Bezproreda"/>
              <w:numPr>
                <w:ilvl w:val="0"/>
                <w:numId w:val="18"/>
              </w:numPr>
              <w:rPr>
                <w:rFonts w:ascii="Arial" w:hAnsi="Arial" w:cs="Arial"/>
                <w:b/>
                <w:sz w:val="20"/>
                <w:szCs w:val="20"/>
              </w:rPr>
            </w:pPr>
            <w:r w:rsidRPr="002F1114">
              <w:rPr>
                <w:rFonts w:ascii="Arial" w:hAnsi="Arial" w:cs="Arial"/>
                <w:b/>
                <w:sz w:val="20"/>
                <w:szCs w:val="20"/>
              </w:rPr>
              <w:t xml:space="preserve">Račun zaduživanja / financiranja </w:t>
            </w:r>
          </w:p>
          <w:p w:rsidR="00EC7983" w:rsidRPr="002F1114" w:rsidRDefault="00EC7983" w:rsidP="00EC7983">
            <w:pPr>
              <w:pStyle w:val="Bezproreda"/>
              <w:rPr>
                <w:rFonts w:ascii="Arial" w:hAnsi="Arial" w:cs="Arial"/>
                <w:sz w:val="20"/>
                <w:szCs w:val="20"/>
              </w:rPr>
            </w:pPr>
          </w:p>
        </w:tc>
      </w:tr>
    </w:tbl>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p w:rsidR="00EC7983" w:rsidRPr="002F1114"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73"/>
        <w:gridCol w:w="2905"/>
        <w:gridCol w:w="3683"/>
      </w:tblGrid>
      <w:tr w:rsidR="00EC7983" w:rsidRPr="002F1114" w:rsidTr="00EC7983">
        <w:tc>
          <w:tcPr>
            <w:tcW w:w="2518" w:type="dxa"/>
          </w:tcPr>
          <w:p w:rsidR="00EC7983" w:rsidRPr="002F1114" w:rsidRDefault="00EC7983" w:rsidP="00EC7983">
            <w:pPr>
              <w:pStyle w:val="Bezproreda"/>
              <w:rPr>
                <w:rFonts w:ascii="Arial" w:hAnsi="Arial" w:cs="Arial"/>
                <w:sz w:val="20"/>
                <w:szCs w:val="20"/>
                <w:highlight w:val="yellow"/>
              </w:rPr>
            </w:pPr>
          </w:p>
          <w:p w:rsidR="00EC7983" w:rsidRPr="002F1114" w:rsidRDefault="00EC7983" w:rsidP="00EC7983">
            <w:pPr>
              <w:pStyle w:val="Bezproreda"/>
              <w:jc w:val="center"/>
              <w:rPr>
                <w:rFonts w:ascii="Arial" w:hAnsi="Arial" w:cs="Arial"/>
                <w:sz w:val="20"/>
                <w:szCs w:val="20"/>
              </w:rPr>
            </w:pPr>
            <w:r w:rsidRPr="002F1114">
              <w:rPr>
                <w:rFonts w:ascii="Arial" w:hAnsi="Arial" w:cs="Arial"/>
                <w:sz w:val="20"/>
                <w:szCs w:val="20"/>
              </w:rPr>
              <w:t>KLASA:400-01/23-04/01</w:t>
            </w:r>
          </w:p>
          <w:p w:rsidR="00EC7983" w:rsidRPr="002F1114" w:rsidRDefault="00EC7983" w:rsidP="00EC7983">
            <w:pPr>
              <w:pStyle w:val="Bezproreda"/>
              <w:rPr>
                <w:rFonts w:ascii="Arial" w:hAnsi="Arial" w:cs="Arial"/>
                <w:sz w:val="20"/>
                <w:szCs w:val="20"/>
                <w:highlight w:val="yellow"/>
              </w:rPr>
            </w:pPr>
          </w:p>
        </w:tc>
        <w:tc>
          <w:tcPr>
            <w:tcW w:w="2977" w:type="dxa"/>
          </w:tcPr>
          <w:p w:rsidR="00EC7983" w:rsidRPr="002F1114" w:rsidRDefault="00EC7983" w:rsidP="00EC7983">
            <w:pPr>
              <w:pStyle w:val="Bezproreda"/>
              <w:jc w:val="center"/>
              <w:rPr>
                <w:rFonts w:ascii="Arial" w:hAnsi="Arial" w:cs="Arial"/>
                <w:sz w:val="20"/>
                <w:szCs w:val="20"/>
              </w:rPr>
            </w:pPr>
          </w:p>
          <w:p w:rsidR="00EC7983" w:rsidRPr="002F1114" w:rsidRDefault="00EC7983" w:rsidP="00EC7983">
            <w:pPr>
              <w:pStyle w:val="Bezproreda"/>
              <w:jc w:val="center"/>
              <w:rPr>
                <w:rFonts w:ascii="Arial" w:hAnsi="Arial" w:cs="Arial"/>
                <w:sz w:val="20"/>
                <w:szCs w:val="20"/>
                <w:highlight w:val="yellow"/>
              </w:rPr>
            </w:pPr>
            <w:r w:rsidRPr="002F1114">
              <w:rPr>
                <w:rFonts w:ascii="Arial" w:hAnsi="Arial" w:cs="Arial"/>
                <w:sz w:val="20"/>
                <w:szCs w:val="20"/>
              </w:rPr>
              <w:t>URBROJ: 2198-16-01-23-2</w:t>
            </w:r>
          </w:p>
        </w:tc>
        <w:tc>
          <w:tcPr>
            <w:tcW w:w="3793" w:type="dxa"/>
          </w:tcPr>
          <w:p w:rsidR="00EC7983" w:rsidRPr="002F1114" w:rsidRDefault="00EC7983" w:rsidP="00EC7983">
            <w:pPr>
              <w:pStyle w:val="Bezproreda"/>
              <w:jc w:val="center"/>
              <w:rPr>
                <w:rFonts w:ascii="Arial" w:hAnsi="Arial" w:cs="Arial"/>
                <w:sz w:val="20"/>
                <w:szCs w:val="20"/>
                <w:highlight w:val="yellow"/>
              </w:rPr>
            </w:pPr>
          </w:p>
          <w:p w:rsidR="00EC7983" w:rsidRPr="002F1114" w:rsidRDefault="00EC7983" w:rsidP="00EC7983">
            <w:pPr>
              <w:pStyle w:val="Bezproreda"/>
              <w:jc w:val="center"/>
              <w:rPr>
                <w:rFonts w:ascii="Arial" w:hAnsi="Arial" w:cs="Arial"/>
                <w:sz w:val="20"/>
                <w:szCs w:val="20"/>
                <w:highlight w:val="yellow"/>
              </w:rPr>
            </w:pPr>
            <w:r w:rsidRPr="002F1114">
              <w:rPr>
                <w:rFonts w:ascii="Arial" w:hAnsi="Arial" w:cs="Arial"/>
                <w:sz w:val="20"/>
                <w:szCs w:val="20"/>
              </w:rPr>
              <w:t>Biograd na Moru, 18. travnja 2023.</w:t>
            </w:r>
          </w:p>
        </w:tc>
      </w:tr>
    </w:tbl>
    <w:p w:rsidR="00EC7983" w:rsidRPr="002F1114" w:rsidRDefault="00EC7983" w:rsidP="00EC7983">
      <w:pPr>
        <w:pStyle w:val="Bezproreda"/>
        <w:rPr>
          <w:rFonts w:ascii="Arial" w:hAnsi="Arial" w:cs="Arial"/>
          <w:sz w:val="20"/>
          <w:szCs w:val="20"/>
        </w:rPr>
      </w:pPr>
    </w:p>
    <w:p w:rsidR="000A6DC7" w:rsidRDefault="000A6DC7" w:rsidP="009E64C9">
      <w:pPr>
        <w:jc w:val="center"/>
        <w:rPr>
          <w:rFonts w:ascii="Arial" w:hAnsi="Arial" w:cs="Arial"/>
          <w:sz w:val="22"/>
          <w:szCs w:val="22"/>
          <w:lang w:eastAsia="hr-HR"/>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tbl>
      <w:tblPr>
        <w:tblW w:w="10695" w:type="dxa"/>
        <w:jc w:val="center"/>
        <w:tblLook w:val="04A0" w:firstRow="1" w:lastRow="0" w:firstColumn="1" w:lastColumn="0" w:noHBand="0" w:noVBand="1"/>
      </w:tblPr>
      <w:tblGrid>
        <w:gridCol w:w="3828"/>
        <w:gridCol w:w="1701"/>
        <w:gridCol w:w="1622"/>
        <w:gridCol w:w="1496"/>
        <w:gridCol w:w="1117"/>
        <w:gridCol w:w="931"/>
      </w:tblGrid>
      <w:tr w:rsidR="00C13A86" w:rsidTr="00C13A86">
        <w:trPr>
          <w:trHeight w:val="348"/>
          <w:jc w:val="center"/>
        </w:trPr>
        <w:tc>
          <w:tcPr>
            <w:tcW w:w="10695" w:type="dxa"/>
            <w:gridSpan w:val="6"/>
            <w:tcBorders>
              <w:top w:val="nil"/>
              <w:left w:val="nil"/>
              <w:bottom w:val="nil"/>
              <w:right w:val="nil"/>
            </w:tcBorders>
            <w:shd w:val="clear" w:color="auto" w:fill="auto"/>
            <w:noWrap/>
            <w:vAlign w:val="bottom"/>
            <w:hideMark/>
          </w:tcPr>
          <w:p w:rsidR="00C13A86" w:rsidRPr="00C13A86" w:rsidRDefault="00C13A86">
            <w:pPr>
              <w:jc w:val="center"/>
              <w:rPr>
                <w:rFonts w:ascii="Arial" w:hAnsi="Arial" w:cs="Arial"/>
                <w:b/>
                <w:bCs/>
                <w:sz w:val="20"/>
                <w:szCs w:val="20"/>
                <w:lang w:eastAsia="hr-HR"/>
              </w:rPr>
            </w:pPr>
            <w:r w:rsidRPr="00C13A86">
              <w:rPr>
                <w:rFonts w:ascii="Arial" w:hAnsi="Arial" w:cs="Arial"/>
                <w:b/>
                <w:bCs/>
                <w:szCs w:val="20"/>
              </w:rPr>
              <w:t>Izvještaj o izvršenju proračuna</w:t>
            </w:r>
          </w:p>
        </w:tc>
      </w:tr>
      <w:tr w:rsidR="00C13A86" w:rsidTr="00C13A86">
        <w:trPr>
          <w:trHeight w:val="264"/>
          <w:jc w:val="center"/>
        </w:trPr>
        <w:tc>
          <w:tcPr>
            <w:tcW w:w="10695" w:type="dxa"/>
            <w:gridSpan w:val="6"/>
            <w:tcBorders>
              <w:top w:val="nil"/>
              <w:left w:val="nil"/>
              <w:bottom w:val="nil"/>
              <w:right w:val="nil"/>
            </w:tcBorders>
            <w:shd w:val="clear" w:color="auto" w:fill="auto"/>
            <w:noWrap/>
            <w:vAlign w:val="bottom"/>
            <w:hideMark/>
          </w:tcPr>
          <w:p w:rsidR="00C13A86" w:rsidRPr="00C13A86" w:rsidRDefault="00C13A86">
            <w:pPr>
              <w:jc w:val="center"/>
              <w:rPr>
                <w:rFonts w:ascii="Arial" w:hAnsi="Arial" w:cs="Arial"/>
                <w:sz w:val="20"/>
                <w:szCs w:val="20"/>
              </w:rPr>
            </w:pPr>
            <w:r w:rsidRPr="00C13A86">
              <w:rPr>
                <w:rFonts w:ascii="Arial" w:hAnsi="Arial" w:cs="Arial"/>
                <w:sz w:val="20"/>
                <w:szCs w:val="20"/>
              </w:rPr>
              <w:t>Za razdoblje od 01.01.2022. do 31.12.2022.</w:t>
            </w:r>
          </w:p>
        </w:tc>
      </w:tr>
      <w:tr w:rsidR="00C13A86" w:rsidTr="00C13A86">
        <w:trPr>
          <w:trHeight w:val="264"/>
          <w:jc w:val="center"/>
        </w:trPr>
        <w:tc>
          <w:tcPr>
            <w:tcW w:w="10695"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p>
        </w:tc>
      </w:tr>
      <w:tr w:rsidR="00C13A86" w:rsidTr="00C13A86">
        <w:trPr>
          <w:trHeight w:val="264"/>
          <w:jc w:val="center"/>
        </w:trPr>
        <w:tc>
          <w:tcPr>
            <w:tcW w:w="382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Račun / opis</w:t>
            </w:r>
          </w:p>
        </w:tc>
        <w:tc>
          <w:tcPr>
            <w:tcW w:w="1701"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2021.</w:t>
            </w:r>
          </w:p>
        </w:tc>
        <w:tc>
          <w:tcPr>
            <w:tcW w:w="162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Izvorni plan 2022.</w:t>
            </w:r>
          </w:p>
        </w:tc>
        <w:tc>
          <w:tcPr>
            <w:tcW w:w="1496"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2022.</w:t>
            </w:r>
          </w:p>
        </w:tc>
        <w:tc>
          <w:tcPr>
            <w:tcW w:w="1117"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3/1</w:t>
            </w:r>
          </w:p>
        </w:tc>
        <w:tc>
          <w:tcPr>
            <w:tcW w:w="931"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3/2</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A. RAČUN PRIHODA I RASHODA</w:t>
            </w:r>
          </w:p>
        </w:tc>
        <w:tc>
          <w:tcPr>
            <w:tcW w:w="1701"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1</w:t>
            </w:r>
          </w:p>
        </w:tc>
        <w:tc>
          <w:tcPr>
            <w:tcW w:w="1622"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2</w:t>
            </w:r>
          </w:p>
        </w:tc>
        <w:tc>
          <w:tcPr>
            <w:tcW w:w="1496"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3</w:t>
            </w:r>
          </w:p>
        </w:tc>
        <w:tc>
          <w:tcPr>
            <w:tcW w:w="1117"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4</w:t>
            </w:r>
          </w:p>
        </w:tc>
        <w:tc>
          <w:tcPr>
            <w:tcW w:w="931"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5</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6 Prihodi poslovanja                                                                                  </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50.278.625,51</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78.397.521,00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54.559.280,00</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108,51%</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69,59%</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7 Prihodi od prodaje nefinancijske imovine                                                            </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5.186.107,20</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24.702.541,00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15.133.155,45</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291,80%</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61,26%</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UKUPNI PRIHODI</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55.464.732,71</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103.100.062,00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69.692.435,45</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125,65%</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67,60%</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3 Rashodi poslovanja                                                                                  </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38.435.029,69</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54.354.128,00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43.964.487,68</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114,39%</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80,89%</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4 Rashodi za nabavu nefinancijske imovine                                                             </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23.213.756,31</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28.290.500,00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15.247.462,76</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65,68%</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53,90%</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UKUPNI RASHODI</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61.648.786,00</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82.644.628,00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59.211.950,44</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96,05%</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71,65%</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VIŠAK / MANJAK</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-6.184.053,29</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20.455.434,00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10.480.485,01</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-169,48%</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51,24%</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B. RAČUN ZADUŽIVANJA / FINANCIRANJA</w:t>
            </w:r>
          </w:p>
        </w:tc>
        <w:tc>
          <w:tcPr>
            <w:tcW w:w="1701"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1622"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1496"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1117"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931"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8 Primici od financijske imovine i zaduživanja                                                        </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221.831,60</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9.355.750,00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4.270.438,76</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1925,08%</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45,65%</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 Izdaci za financijsku imovinu i otplate zajmova                                                     </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5.577.321,77</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4.863.698,00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4.710.640,33</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84,46%</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96,85%</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NETO ZADUŽIVANJE</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-5.355.490,17</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4.492.052,00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-440.201,57</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8,22%</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-9,80%</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UKUPNI DONOS VIŠKA / MANJKA IZ PRETHODNE(IH) GODINA</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931" w:type="dxa"/>
            <w:tcBorders>
              <w:top w:val="nil"/>
              <w:left w:val="nil"/>
              <w:bottom w:val="nil"/>
              <w:right w:val="nil"/>
            </w:tcBorders>
            <w:shd w:val="clear" w:color="auto" w:fill="auto"/>
            <w:noWrap/>
            <w:vAlign w:val="bottom"/>
            <w:hideMark/>
          </w:tcPr>
          <w:p w:rsidR="00C13A86" w:rsidRDefault="00C13A86">
            <w:pPr>
              <w:jc w:val="right"/>
              <w:rPr>
                <w:sz w:val="20"/>
                <w:szCs w:val="20"/>
              </w:rPr>
            </w:pP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VIŠAK / MANJAK IZ PRETHODNE(IH) GODINE KOJI ĆE SE POKRITI / RASPOREDITI</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-24.947.486,00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-199.699,32</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0,80%</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VIŠAK / MANJAK + NETO ZADUŽIVANJE / FINANCIRANJE + KORIŠTENO U PRETHODNIM GODINAMA</w:t>
            </w:r>
          </w:p>
        </w:tc>
        <w:tc>
          <w:tcPr>
            <w:tcW w:w="1701"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1622"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1496"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1117"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c>
          <w:tcPr>
            <w:tcW w:w="931"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w:t>
            </w:r>
          </w:p>
        </w:tc>
      </w:tr>
      <w:tr w:rsidR="00C13A86" w:rsidTr="00C13A86">
        <w:trPr>
          <w:trHeight w:val="264"/>
          <w:jc w:val="center"/>
        </w:trPr>
        <w:tc>
          <w:tcPr>
            <w:tcW w:w="3828"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 REZULTAT GODINE</w:t>
            </w:r>
          </w:p>
        </w:tc>
        <w:tc>
          <w:tcPr>
            <w:tcW w:w="170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-11.539.543,46</w:t>
            </w:r>
          </w:p>
        </w:tc>
        <w:tc>
          <w:tcPr>
            <w:tcW w:w="1622"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496"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9.840.584,12</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-85,28%</w:t>
            </w:r>
          </w:p>
        </w:tc>
        <w:tc>
          <w:tcPr>
            <w:tcW w:w="93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bl>
    <w:p w:rsidR="00C13A86" w:rsidRDefault="00C13A86" w:rsidP="000A6DC7">
      <w:pPr>
        <w:jc w:val="center"/>
        <w:rPr>
          <w:rFonts w:ascii="Arial" w:hAnsi="Arial" w:cs="Arial"/>
        </w:rPr>
      </w:pPr>
    </w:p>
    <w:p w:rsidR="00C13A86" w:rsidRDefault="00C13A86" w:rsidP="00C13A86">
      <w:pPr>
        <w:jc w:val="center"/>
        <w:rPr>
          <w:rFonts w:ascii="Arial" w:hAnsi="Arial" w:cs="Arial"/>
        </w:rPr>
      </w:pPr>
      <w:r>
        <w:rPr>
          <w:rFonts w:ascii="Arial" w:hAnsi="Arial" w:cs="Arial"/>
        </w:rPr>
        <w:t>***</w:t>
      </w: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Pr="002B6238"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5"/>
        <w:gridCol w:w="7556"/>
      </w:tblGrid>
      <w:tr w:rsidR="00EC7983" w:rsidRPr="00D56FC5" w:rsidTr="00EC7983">
        <w:tc>
          <w:tcPr>
            <w:tcW w:w="1526" w:type="dxa"/>
          </w:tcPr>
          <w:p w:rsidR="00EC7983" w:rsidRPr="00D56FC5" w:rsidRDefault="00EC7983" w:rsidP="00EC7983">
            <w:pPr>
              <w:pStyle w:val="Bezproreda"/>
              <w:jc w:val="center"/>
              <w:rPr>
                <w:rFonts w:ascii="Arial" w:hAnsi="Arial" w:cs="Arial"/>
                <w:noProof/>
                <w:color w:val="BFBFBF" w:themeColor="background1" w:themeShade="BF"/>
                <w:sz w:val="20"/>
                <w:szCs w:val="20"/>
                <w:lang w:eastAsia="hr-HR"/>
              </w:rPr>
            </w:pPr>
          </w:p>
          <w:p w:rsidR="00EC7983" w:rsidRPr="00D56FC5" w:rsidRDefault="00EC7983" w:rsidP="00EC7983">
            <w:pPr>
              <w:pStyle w:val="Bezproreda"/>
              <w:jc w:val="center"/>
              <w:rPr>
                <w:rFonts w:ascii="Arial" w:hAnsi="Arial" w:cs="Arial"/>
                <w:color w:val="BFBFBF" w:themeColor="background1" w:themeShade="BF"/>
                <w:sz w:val="20"/>
                <w:szCs w:val="20"/>
              </w:rPr>
            </w:pPr>
            <w:r w:rsidRPr="00D56FC5">
              <w:rPr>
                <w:rFonts w:ascii="Arial" w:hAnsi="Arial" w:cs="Arial"/>
                <w:noProof/>
                <w:color w:val="BFBFBF" w:themeColor="background1" w:themeShade="BF"/>
                <w:sz w:val="20"/>
                <w:szCs w:val="20"/>
              </w:rPr>
              <w:drawing>
                <wp:inline distT="0" distB="0" distL="0" distR="0" wp14:anchorId="4412192D" wp14:editId="055CB37C">
                  <wp:extent cx="409575" cy="447675"/>
                  <wp:effectExtent l="0" t="0" r="9525" b="9525"/>
                  <wp:docPr id="4" name="Slika 4"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D56FC5" w:rsidRDefault="00EC7983" w:rsidP="00EC7983">
            <w:pPr>
              <w:pStyle w:val="Bezproreda"/>
              <w:jc w:val="center"/>
              <w:rPr>
                <w:rFonts w:ascii="Arial" w:hAnsi="Arial" w:cs="Arial"/>
                <w:b/>
                <w:color w:val="BFBFBF" w:themeColor="background1" w:themeShade="BF"/>
                <w:sz w:val="20"/>
                <w:szCs w:val="20"/>
              </w:rPr>
            </w:pPr>
          </w:p>
          <w:p w:rsidR="00EC7983" w:rsidRPr="00D56FC5" w:rsidRDefault="00EC7983" w:rsidP="00EC7983">
            <w:pPr>
              <w:pStyle w:val="Bezproreda"/>
              <w:jc w:val="center"/>
              <w:rPr>
                <w:rFonts w:ascii="Arial" w:hAnsi="Arial" w:cs="Arial"/>
                <w:b/>
                <w:sz w:val="20"/>
                <w:szCs w:val="20"/>
              </w:rPr>
            </w:pPr>
            <w:r w:rsidRPr="00D56FC5">
              <w:rPr>
                <w:rFonts w:ascii="Arial" w:hAnsi="Arial" w:cs="Arial"/>
                <w:b/>
                <w:sz w:val="20"/>
                <w:szCs w:val="20"/>
              </w:rPr>
              <w:t>REPUBLIKA HRVATSKA</w:t>
            </w:r>
          </w:p>
          <w:p w:rsidR="00EC7983" w:rsidRPr="00D56FC5" w:rsidRDefault="00EC7983" w:rsidP="00EC7983">
            <w:pPr>
              <w:pStyle w:val="Bezproreda"/>
              <w:jc w:val="center"/>
              <w:rPr>
                <w:rFonts w:ascii="Arial" w:hAnsi="Arial" w:cs="Arial"/>
                <w:b/>
                <w:sz w:val="20"/>
                <w:szCs w:val="20"/>
              </w:rPr>
            </w:pPr>
            <w:r w:rsidRPr="00D56FC5">
              <w:rPr>
                <w:rFonts w:ascii="Arial" w:hAnsi="Arial" w:cs="Arial"/>
                <w:b/>
                <w:sz w:val="20"/>
                <w:szCs w:val="20"/>
              </w:rPr>
              <w:t>ZADARSKA ŽUPANIJA</w:t>
            </w:r>
          </w:p>
          <w:p w:rsidR="00EC7983" w:rsidRPr="00D56FC5" w:rsidRDefault="00EC7983" w:rsidP="00EC7983">
            <w:pPr>
              <w:pStyle w:val="Bezproreda"/>
              <w:jc w:val="center"/>
              <w:rPr>
                <w:rFonts w:ascii="Arial" w:hAnsi="Arial" w:cs="Arial"/>
                <w:b/>
                <w:sz w:val="20"/>
                <w:szCs w:val="20"/>
              </w:rPr>
            </w:pPr>
            <w:r w:rsidRPr="00D56FC5">
              <w:rPr>
                <w:rFonts w:ascii="Arial" w:hAnsi="Arial" w:cs="Arial"/>
                <w:b/>
                <w:sz w:val="20"/>
                <w:szCs w:val="20"/>
              </w:rPr>
              <w:t>GRAD BIOGRAD NA MORU</w:t>
            </w:r>
          </w:p>
          <w:p w:rsidR="00EC7983" w:rsidRPr="00D56FC5" w:rsidRDefault="00EC7983" w:rsidP="00EC7983">
            <w:pPr>
              <w:pStyle w:val="Bezproreda"/>
              <w:jc w:val="center"/>
              <w:rPr>
                <w:rFonts w:ascii="Arial" w:hAnsi="Arial" w:cs="Arial"/>
                <w:color w:val="BFBFBF" w:themeColor="background1" w:themeShade="BF"/>
                <w:sz w:val="20"/>
                <w:szCs w:val="20"/>
              </w:rPr>
            </w:pPr>
          </w:p>
        </w:tc>
      </w:tr>
    </w:tbl>
    <w:p w:rsidR="00EC7983" w:rsidRPr="00D56FC5" w:rsidRDefault="00EC7983" w:rsidP="00EC7983">
      <w:pPr>
        <w:rPr>
          <w:rFonts w:ascii="Arial" w:hAnsi="Arial" w:cs="Arial"/>
          <w:sz w:val="20"/>
          <w:szCs w:val="20"/>
        </w:rPr>
      </w:pPr>
    </w:p>
    <w:p w:rsidR="00EC7983" w:rsidRPr="00D56FC5" w:rsidRDefault="00EC7983" w:rsidP="00EC7983">
      <w:pPr>
        <w:rPr>
          <w:rFonts w:ascii="Arial" w:hAnsi="Arial" w:cs="Arial"/>
          <w:sz w:val="20"/>
          <w:szCs w:val="20"/>
        </w:rPr>
      </w:pPr>
    </w:p>
    <w:p w:rsidR="00EC7983" w:rsidRPr="00D56FC5"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D56FC5" w:rsidRDefault="00C13A86" w:rsidP="00EC7983">
      <w:pPr>
        <w:rPr>
          <w:rFonts w:ascii="Arial" w:hAnsi="Arial" w:cs="Arial"/>
          <w:sz w:val="20"/>
          <w:szCs w:val="20"/>
        </w:rPr>
      </w:pPr>
    </w:p>
    <w:p w:rsidR="00EC7983" w:rsidRPr="00D56FC5" w:rsidRDefault="00EC7983" w:rsidP="00EC7983">
      <w:pPr>
        <w:rPr>
          <w:rFonts w:ascii="Arial" w:hAnsi="Arial" w:cs="Arial"/>
          <w:sz w:val="20"/>
          <w:szCs w:val="20"/>
        </w:rPr>
      </w:pPr>
    </w:p>
    <w:p w:rsidR="00EC7983" w:rsidRPr="00D56FC5"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D56FC5" w:rsidTr="00EC7983">
        <w:tc>
          <w:tcPr>
            <w:tcW w:w="2235" w:type="dxa"/>
            <w:vMerge w:val="restart"/>
            <w:vAlign w:val="center"/>
          </w:tcPr>
          <w:p w:rsidR="00EC7983" w:rsidRPr="00D56FC5" w:rsidRDefault="00EC7983" w:rsidP="00EC7983">
            <w:pPr>
              <w:pStyle w:val="Bezproreda"/>
              <w:jc w:val="center"/>
              <w:rPr>
                <w:rFonts w:ascii="Arial" w:hAnsi="Arial" w:cs="Arial"/>
                <w:b/>
                <w:sz w:val="20"/>
                <w:szCs w:val="20"/>
              </w:rPr>
            </w:pPr>
            <w:r w:rsidRPr="00D56FC5">
              <w:rPr>
                <w:rFonts w:ascii="Arial" w:hAnsi="Arial" w:cs="Arial"/>
                <w:b/>
                <w:sz w:val="20"/>
                <w:szCs w:val="20"/>
              </w:rPr>
              <w:t>Prilog: 2</w:t>
            </w:r>
          </w:p>
        </w:tc>
        <w:tc>
          <w:tcPr>
            <w:tcW w:w="7053" w:type="dxa"/>
          </w:tcPr>
          <w:p w:rsidR="00EC7983" w:rsidRPr="00D56FC5" w:rsidRDefault="00EC7983" w:rsidP="00EC7983">
            <w:pPr>
              <w:pStyle w:val="Bezproreda"/>
              <w:rPr>
                <w:rFonts w:ascii="Arial" w:hAnsi="Arial" w:cs="Arial"/>
                <w:b/>
                <w:sz w:val="20"/>
                <w:szCs w:val="20"/>
              </w:rPr>
            </w:pPr>
          </w:p>
          <w:p w:rsidR="00EC7983" w:rsidRPr="00D56FC5" w:rsidRDefault="00EC7983" w:rsidP="00EC7983">
            <w:pPr>
              <w:pStyle w:val="Bezproreda"/>
              <w:rPr>
                <w:rFonts w:ascii="Arial" w:hAnsi="Arial" w:cs="Arial"/>
                <w:b/>
                <w:sz w:val="20"/>
                <w:szCs w:val="20"/>
              </w:rPr>
            </w:pPr>
            <w:r w:rsidRPr="00D56FC5">
              <w:rPr>
                <w:rFonts w:ascii="Arial" w:hAnsi="Arial" w:cs="Arial"/>
                <w:b/>
                <w:sz w:val="20"/>
                <w:szCs w:val="20"/>
              </w:rPr>
              <w:t>GODIŠNJI IZVJEŠTAJ O IZVRŠENJU PRORAČUNA GRADA BIOGRADA NA MORU ZA 2022. GODINU</w:t>
            </w:r>
          </w:p>
          <w:p w:rsidR="00EC7983" w:rsidRPr="00D56FC5" w:rsidRDefault="00EC7983" w:rsidP="00EC7983">
            <w:pPr>
              <w:pStyle w:val="Bezproreda"/>
              <w:rPr>
                <w:rFonts w:ascii="Arial" w:hAnsi="Arial" w:cs="Arial"/>
                <w:b/>
                <w:sz w:val="20"/>
                <w:szCs w:val="20"/>
              </w:rPr>
            </w:pPr>
          </w:p>
        </w:tc>
      </w:tr>
      <w:tr w:rsidR="00EC7983" w:rsidRPr="00D56FC5" w:rsidTr="00EC7983">
        <w:tc>
          <w:tcPr>
            <w:tcW w:w="2235" w:type="dxa"/>
            <w:vMerge/>
          </w:tcPr>
          <w:p w:rsidR="00EC7983" w:rsidRPr="00D56FC5" w:rsidRDefault="00EC7983" w:rsidP="00EC7983">
            <w:pPr>
              <w:pStyle w:val="Bezproreda"/>
              <w:rPr>
                <w:rFonts w:ascii="Arial" w:hAnsi="Arial" w:cs="Arial"/>
                <w:sz w:val="20"/>
                <w:szCs w:val="20"/>
              </w:rPr>
            </w:pPr>
          </w:p>
        </w:tc>
        <w:tc>
          <w:tcPr>
            <w:tcW w:w="7053" w:type="dxa"/>
          </w:tcPr>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b/>
                <w:sz w:val="20"/>
                <w:szCs w:val="20"/>
              </w:rPr>
            </w:pPr>
            <w:r w:rsidRPr="00D56FC5">
              <w:rPr>
                <w:rFonts w:ascii="Arial" w:hAnsi="Arial" w:cs="Arial"/>
                <w:b/>
                <w:sz w:val="20"/>
                <w:szCs w:val="20"/>
              </w:rPr>
              <w:t>Opći dio proračuna: Račun prihoda i rashoda prema ekonomskoj klasifikaciji</w:t>
            </w:r>
          </w:p>
          <w:p w:rsidR="00EC7983" w:rsidRPr="00D56FC5" w:rsidRDefault="00EC7983" w:rsidP="00EC7983">
            <w:pPr>
              <w:pStyle w:val="Bezproreda"/>
              <w:rPr>
                <w:rFonts w:ascii="Arial" w:hAnsi="Arial" w:cs="Arial"/>
                <w:sz w:val="20"/>
                <w:szCs w:val="20"/>
              </w:rPr>
            </w:pPr>
          </w:p>
        </w:tc>
      </w:tr>
    </w:tbl>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73"/>
        <w:gridCol w:w="2905"/>
        <w:gridCol w:w="3683"/>
      </w:tblGrid>
      <w:tr w:rsidR="00EC7983" w:rsidRPr="00D56FC5" w:rsidTr="00EC7983">
        <w:tc>
          <w:tcPr>
            <w:tcW w:w="2518" w:type="dxa"/>
          </w:tcPr>
          <w:p w:rsidR="00EC7983" w:rsidRPr="00D56FC5" w:rsidRDefault="00EC7983" w:rsidP="00EC7983">
            <w:pPr>
              <w:pStyle w:val="Bezproreda"/>
              <w:rPr>
                <w:rFonts w:ascii="Arial" w:hAnsi="Arial" w:cs="Arial"/>
                <w:sz w:val="20"/>
                <w:szCs w:val="20"/>
              </w:rPr>
            </w:pPr>
          </w:p>
          <w:p w:rsidR="00EC7983" w:rsidRPr="00D56FC5" w:rsidRDefault="00EC7983" w:rsidP="00EC7983">
            <w:pPr>
              <w:pStyle w:val="Bezproreda"/>
              <w:rPr>
                <w:rFonts w:ascii="Arial" w:hAnsi="Arial" w:cs="Arial"/>
                <w:sz w:val="20"/>
                <w:szCs w:val="20"/>
              </w:rPr>
            </w:pPr>
            <w:r w:rsidRPr="00D56FC5">
              <w:rPr>
                <w:rFonts w:ascii="Arial" w:hAnsi="Arial" w:cs="Arial"/>
                <w:sz w:val="20"/>
                <w:szCs w:val="20"/>
              </w:rPr>
              <w:t>KLASA:400-01/23-04/01</w:t>
            </w:r>
          </w:p>
          <w:p w:rsidR="00EC7983" w:rsidRPr="00D56FC5" w:rsidRDefault="00EC7983" w:rsidP="00EC7983">
            <w:pPr>
              <w:pStyle w:val="Bezproreda"/>
              <w:rPr>
                <w:rFonts w:ascii="Arial" w:hAnsi="Arial" w:cs="Arial"/>
                <w:sz w:val="20"/>
                <w:szCs w:val="20"/>
              </w:rPr>
            </w:pPr>
          </w:p>
        </w:tc>
        <w:tc>
          <w:tcPr>
            <w:tcW w:w="2977" w:type="dxa"/>
          </w:tcPr>
          <w:p w:rsidR="00EC7983" w:rsidRPr="00D56FC5" w:rsidRDefault="00EC7983" w:rsidP="00EC7983">
            <w:pPr>
              <w:pStyle w:val="Bezproreda"/>
              <w:jc w:val="center"/>
              <w:rPr>
                <w:rFonts w:ascii="Arial" w:hAnsi="Arial" w:cs="Arial"/>
                <w:sz w:val="20"/>
                <w:szCs w:val="20"/>
              </w:rPr>
            </w:pPr>
          </w:p>
          <w:p w:rsidR="00EC7983" w:rsidRPr="00D56FC5" w:rsidRDefault="00EC7983" w:rsidP="00EC7983">
            <w:pPr>
              <w:pStyle w:val="Bezproreda"/>
              <w:jc w:val="center"/>
              <w:rPr>
                <w:rFonts w:ascii="Arial" w:hAnsi="Arial" w:cs="Arial"/>
                <w:sz w:val="20"/>
                <w:szCs w:val="20"/>
              </w:rPr>
            </w:pPr>
            <w:r w:rsidRPr="00D56FC5">
              <w:rPr>
                <w:rFonts w:ascii="Arial" w:hAnsi="Arial" w:cs="Arial"/>
                <w:sz w:val="20"/>
                <w:szCs w:val="20"/>
              </w:rPr>
              <w:t>URBROJ: 2198-16-01-23-2</w:t>
            </w:r>
          </w:p>
        </w:tc>
        <w:tc>
          <w:tcPr>
            <w:tcW w:w="3793" w:type="dxa"/>
          </w:tcPr>
          <w:p w:rsidR="00EC7983" w:rsidRPr="00D56FC5" w:rsidRDefault="00EC7983" w:rsidP="00EC7983">
            <w:pPr>
              <w:pStyle w:val="Bezproreda"/>
              <w:jc w:val="center"/>
              <w:rPr>
                <w:rFonts w:ascii="Arial" w:hAnsi="Arial" w:cs="Arial"/>
                <w:sz w:val="20"/>
                <w:szCs w:val="20"/>
                <w:highlight w:val="yellow"/>
              </w:rPr>
            </w:pPr>
          </w:p>
          <w:p w:rsidR="00EC7983" w:rsidRPr="00D56FC5" w:rsidRDefault="00EC7983" w:rsidP="00EC7983">
            <w:pPr>
              <w:pStyle w:val="Bezproreda"/>
              <w:jc w:val="center"/>
              <w:rPr>
                <w:rFonts w:ascii="Arial" w:hAnsi="Arial" w:cs="Arial"/>
                <w:sz w:val="20"/>
                <w:szCs w:val="20"/>
                <w:highlight w:val="yellow"/>
              </w:rPr>
            </w:pPr>
            <w:r w:rsidRPr="00D56FC5">
              <w:rPr>
                <w:rFonts w:ascii="Arial" w:hAnsi="Arial" w:cs="Arial"/>
                <w:sz w:val="20"/>
                <w:szCs w:val="20"/>
              </w:rPr>
              <w:t>Biograd na Moru, 18. travnja 2023.</w:t>
            </w:r>
          </w:p>
        </w:tc>
      </w:tr>
    </w:tbl>
    <w:p w:rsidR="00EC7983" w:rsidRPr="00D56FC5" w:rsidRDefault="00EC7983" w:rsidP="00EC7983">
      <w:pPr>
        <w:pStyle w:val="Bezproreda"/>
        <w:rPr>
          <w:rFonts w:ascii="Arial" w:hAnsi="Arial" w:cs="Arial"/>
          <w:sz w:val="20"/>
          <w:szCs w:val="20"/>
        </w:rPr>
      </w:pPr>
    </w:p>
    <w:p w:rsidR="000A6DC7" w:rsidRDefault="000A6DC7" w:rsidP="009E64C9">
      <w:pPr>
        <w:jc w:val="center"/>
        <w:rPr>
          <w:rFonts w:ascii="Arial" w:hAnsi="Arial" w:cs="Arial"/>
          <w:sz w:val="22"/>
          <w:szCs w:val="22"/>
          <w:lang w:eastAsia="hr-HR"/>
        </w:rPr>
      </w:pPr>
    </w:p>
    <w:tbl>
      <w:tblPr>
        <w:tblW w:w="10272" w:type="dxa"/>
        <w:jc w:val="center"/>
        <w:tblLook w:val="04A0" w:firstRow="1" w:lastRow="0" w:firstColumn="1" w:lastColumn="0" w:noHBand="0" w:noVBand="1"/>
      </w:tblPr>
      <w:tblGrid>
        <w:gridCol w:w="3119"/>
        <w:gridCol w:w="1543"/>
        <w:gridCol w:w="1815"/>
        <w:gridCol w:w="1543"/>
        <w:gridCol w:w="1126"/>
        <w:gridCol w:w="1126"/>
      </w:tblGrid>
      <w:tr w:rsidR="00C13A86" w:rsidRPr="00C13A86" w:rsidTr="00C13A86">
        <w:trPr>
          <w:trHeight w:val="348"/>
          <w:jc w:val="center"/>
        </w:trPr>
        <w:tc>
          <w:tcPr>
            <w:tcW w:w="10272" w:type="dxa"/>
            <w:gridSpan w:val="6"/>
            <w:tcBorders>
              <w:top w:val="nil"/>
              <w:left w:val="nil"/>
              <w:bottom w:val="nil"/>
              <w:right w:val="nil"/>
            </w:tcBorders>
            <w:shd w:val="clear" w:color="auto" w:fill="auto"/>
            <w:noWrap/>
            <w:vAlign w:val="bottom"/>
            <w:hideMark/>
          </w:tcPr>
          <w:p w:rsidR="00C13A86" w:rsidRPr="00C13A86" w:rsidRDefault="00C13A86" w:rsidP="00C13A86">
            <w:pPr>
              <w:jc w:val="center"/>
              <w:rPr>
                <w:rFonts w:ascii="Arial" w:hAnsi="Arial" w:cs="Arial"/>
                <w:b/>
                <w:bCs/>
                <w:sz w:val="28"/>
                <w:szCs w:val="28"/>
                <w:lang w:eastAsia="hr-HR"/>
              </w:rPr>
            </w:pPr>
            <w:r w:rsidRPr="00C13A86">
              <w:rPr>
                <w:rFonts w:ascii="Arial" w:hAnsi="Arial" w:cs="Arial"/>
                <w:b/>
                <w:bCs/>
                <w:szCs w:val="28"/>
                <w:lang w:eastAsia="hr-HR"/>
              </w:rPr>
              <w:lastRenderedPageBreak/>
              <w:t>Prihodi i rashodi prema ekonomskoj klasifikaciji</w:t>
            </w:r>
          </w:p>
        </w:tc>
      </w:tr>
      <w:tr w:rsidR="00C13A86" w:rsidRPr="00C13A86" w:rsidTr="00C13A86">
        <w:trPr>
          <w:trHeight w:val="264"/>
          <w:jc w:val="center"/>
        </w:trPr>
        <w:tc>
          <w:tcPr>
            <w:tcW w:w="10272" w:type="dxa"/>
            <w:gridSpan w:val="6"/>
            <w:tcBorders>
              <w:top w:val="nil"/>
              <w:left w:val="nil"/>
              <w:bottom w:val="nil"/>
              <w:right w:val="nil"/>
            </w:tcBorders>
            <w:shd w:val="clear" w:color="auto" w:fill="auto"/>
            <w:noWrap/>
            <w:vAlign w:val="bottom"/>
            <w:hideMark/>
          </w:tcPr>
          <w:p w:rsidR="00C13A86" w:rsidRPr="00C13A86" w:rsidRDefault="00C13A86" w:rsidP="00C13A86">
            <w:pPr>
              <w:jc w:val="center"/>
              <w:rPr>
                <w:rFonts w:ascii="Arial" w:hAnsi="Arial" w:cs="Arial"/>
                <w:sz w:val="20"/>
                <w:szCs w:val="20"/>
                <w:lang w:eastAsia="hr-HR"/>
              </w:rPr>
            </w:pPr>
            <w:r w:rsidRPr="00C13A86">
              <w:rPr>
                <w:rFonts w:ascii="Arial" w:hAnsi="Arial" w:cs="Arial"/>
                <w:sz w:val="20"/>
                <w:szCs w:val="20"/>
                <w:lang w:eastAsia="hr-HR"/>
              </w:rPr>
              <w:t>Za razdoblje od 01.01.2022. do 31.12.2022.</w:t>
            </w:r>
          </w:p>
        </w:tc>
      </w:tr>
      <w:tr w:rsidR="00C13A86" w:rsidRPr="00C13A86" w:rsidTr="00C13A86">
        <w:trPr>
          <w:trHeight w:val="264"/>
          <w:jc w:val="center"/>
        </w:trPr>
        <w:tc>
          <w:tcPr>
            <w:tcW w:w="10272" w:type="dxa"/>
            <w:gridSpan w:val="6"/>
            <w:tcBorders>
              <w:top w:val="nil"/>
              <w:left w:val="nil"/>
              <w:bottom w:val="nil"/>
              <w:right w:val="nil"/>
            </w:tcBorders>
            <w:shd w:val="clear" w:color="auto" w:fill="auto"/>
            <w:noWrap/>
            <w:vAlign w:val="bottom"/>
            <w:hideMark/>
          </w:tcPr>
          <w:p w:rsidR="00C13A86" w:rsidRPr="00C13A86" w:rsidRDefault="00C13A86" w:rsidP="00C13A86">
            <w:pPr>
              <w:jc w:val="center"/>
              <w:rPr>
                <w:rFonts w:ascii="Arial" w:hAnsi="Arial" w:cs="Arial"/>
                <w:sz w:val="20"/>
                <w:szCs w:val="20"/>
                <w:lang w:eastAsia="hr-HR"/>
              </w:rPr>
            </w:pPr>
          </w:p>
        </w:tc>
      </w:tr>
      <w:tr w:rsidR="00C13A86" w:rsidRPr="00C13A86" w:rsidTr="00C13A86">
        <w:trPr>
          <w:trHeight w:val="264"/>
          <w:jc w:val="center"/>
        </w:trPr>
        <w:tc>
          <w:tcPr>
            <w:tcW w:w="3119" w:type="dxa"/>
            <w:tcBorders>
              <w:top w:val="nil"/>
              <w:left w:val="nil"/>
              <w:bottom w:val="nil"/>
              <w:right w:val="nil"/>
            </w:tcBorders>
            <w:shd w:val="clear" w:color="000000" w:fill="C0C0C0"/>
            <w:noWrap/>
            <w:vAlign w:val="bottom"/>
            <w:hideMark/>
          </w:tcPr>
          <w:p w:rsidR="00C13A86" w:rsidRPr="00C13A86" w:rsidRDefault="00C13A86" w:rsidP="00C13A86">
            <w:pPr>
              <w:jc w:val="center"/>
              <w:rPr>
                <w:rFonts w:ascii="Arial" w:hAnsi="Arial" w:cs="Arial"/>
                <w:b/>
                <w:bCs/>
                <w:sz w:val="20"/>
                <w:szCs w:val="20"/>
                <w:lang w:eastAsia="hr-HR"/>
              </w:rPr>
            </w:pPr>
            <w:r w:rsidRPr="00C13A86">
              <w:rPr>
                <w:rFonts w:ascii="Arial" w:hAnsi="Arial" w:cs="Arial"/>
                <w:b/>
                <w:bCs/>
                <w:sz w:val="20"/>
                <w:szCs w:val="20"/>
                <w:lang w:eastAsia="hr-HR"/>
              </w:rPr>
              <w:t>Račun / opis</w:t>
            </w:r>
          </w:p>
        </w:tc>
        <w:tc>
          <w:tcPr>
            <w:tcW w:w="1543" w:type="dxa"/>
            <w:tcBorders>
              <w:top w:val="nil"/>
              <w:left w:val="nil"/>
              <w:bottom w:val="nil"/>
              <w:right w:val="nil"/>
            </w:tcBorders>
            <w:shd w:val="clear" w:color="000000" w:fill="C0C0C0"/>
            <w:noWrap/>
            <w:vAlign w:val="bottom"/>
            <w:hideMark/>
          </w:tcPr>
          <w:p w:rsidR="00C13A86" w:rsidRPr="00C13A86" w:rsidRDefault="00C13A86" w:rsidP="00C13A86">
            <w:pPr>
              <w:jc w:val="center"/>
              <w:rPr>
                <w:rFonts w:ascii="Arial" w:hAnsi="Arial" w:cs="Arial"/>
                <w:b/>
                <w:bCs/>
                <w:sz w:val="20"/>
                <w:szCs w:val="20"/>
                <w:lang w:eastAsia="hr-HR"/>
              </w:rPr>
            </w:pPr>
            <w:r w:rsidRPr="00C13A86">
              <w:rPr>
                <w:rFonts w:ascii="Arial" w:hAnsi="Arial" w:cs="Arial"/>
                <w:b/>
                <w:bCs/>
                <w:sz w:val="20"/>
                <w:szCs w:val="20"/>
                <w:lang w:eastAsia="hr-HR"/>
              </w:rPr>
              <w:t>Izvršenje 2021.</w:t>
            </w:r>
          </w:p>
        </w:tc>
        <w:tc>
          <w:tcPr>
            <w:tcW w:w="1815" w:type="dxa"/>
            <w:tcBorders>
              <w:top w:val="nil"/>
              <w:left w:val="nil"/>
              <w:bottom w:val="nil"/>
              <w:right w:val="nil"/>
            </w:tcBorders>
            <w:shd w:val="clear" w:color="000000" w:fill="C0C0C0"/>
            <w:noWrap/>
            <w:vAlign w:val="bottom"/>
            <w:hideMark/>
          </w:tcPr>
          <w:p w:rsidR="00C13A86" w:rsidRPr="00C13A86" w:rsidRDefault="00C13A86" w:rsidP="00C13A86">
            <w:pPr>
              <w:jc w:val="center"/>
              <w:rPr>
                <w:rFonts w:ascii="Arial" w:hAnsi="Arial" w:cs="Arial"/>
                <w:b/>
                <w:bCs/>
                <w:sz w:val="20"/>
                <w:szCs w:val="20"/>
                <w:lang w:eastAsia="hr-HR"/>
              </w:rPr>
            </w:pPr>
            <w:r w:rsidRPr="00C13A86">
              <w:rPr>
                <w:rFonts w:ascii="Arial" w:hAnsi="Arial" w:cs="Arial"/>
                <w:b/>
                <w:bCs/>
                <w:sz w:val="20"/>
                <w:szCs w:val="20"/>
                <w:lang w:eastAsia="hr-HR"/>
              </w:rPr>
              <w:t>Izvorni plan 2022.</w:t>
            </w:r>
          </w:p>
        </w:tc>
        <w:tc>
          <w:tcPr>
            <w:tcW w:w="1543" w:type="dxa"/>
            <w:tcBorders>
              <w:top w:val="nil"/>
              <w:left w:val="nil"/>
              <w:bottom w:val="nil"/>
              <w:right w:val="nil"/>
            </w:tcBorders>
            <w:shd w:val="clear" w:color="000000" w:fill="C0C0C0"/>
            <w:noWrap/>
            <w:vAlign w:val="bottom"/>
            <w:hideMark/>
          </w:tcPr>
          <w:p w:rsidR="00C13A86" w:rsidRPr="00C13A86" w:rsidRDefault="00C13A86" w:rsidP="00C13A86">
            <w:pPr>
              <w:jc w:val="center"/>
              <w:rPr>
                <w:rFonts w:ascii="Arial" w:hAnsi="Arial" w:cs="Arial"/>
                <w:b/>
                <w:bCs/>
                <w:sz w:val="20"/>
                <w:szCs w:val="20"/>
                <w:lang w:eastAsia="hr-HR"/>
              </w:rPr>
            </w:pPr>
            <w:r w:rsidRPr="00C13A86">
              <w:rPr>
                <w:rFonts w:ascii="Arial" w:hAnsi="Arial" w:cs="Arial"/>
                <w:b/>
                <w:bCs/>
                <w:sz w:val="20"/>
                <w:szCs w:val="20"/>
                <w:lang w:eastAsia="hr-HR"/>
              </w:rPr>
              <w:t>Izvršenje 2022.</w:t>
            </w:r>
          </w:p>
        </w:tc>
        <w:tc>
          <w:tcPr>
            <w:tcW w:w="1126" w:type="dxa"/>
            <w:tcBorders>
              <w:top w:val="nil"/>
              <w:left w:val="nil"/>
              <w:bottom w:val="nil"/>
              <w:right w:val="nil"/>
            </w:tcBorders>
            <w:shd w:val="clear" w:color="000000" w:fill="C0C0C0"/>
            <w:noWrap/>
            <w:vAlign w:val="bottom"/>
            <w:hideMark/>
          </w:tcPr>
          <w:p w:rsidR="00C13A86" w:rsidRPr="00C13A86" w:rsidRDefault="00C13A86" w:rsidP="00C13A86">
            <w:pPr>
              <w:jc w:val="center"/>
              <w:rPr>
                <w:rFonts w:ascii="Arial" w:hAnsi="Arial" w:cs="Arial"/>
                <w:b/>
                <w:bCs/>
                <w:sz w:val="20"/>
                <w:szCs w:val="20"/>
                <w:lang w:eastAsia="hr-HR"/>
              </w:rPr>
            </w:pPr>
            <w:r w:rsidRPr="00C13A86">
              <w:rPr>
                <w:rFonts w:ascii="Arial" w:hAnsi="Arial" w:cs="Arial"/>
                <w:b/>
                <w:bCs/>
                <w:sz w:val="20"/>
                <w:szCs w:val="20"/>
                <w:lang w:eastAsia="hr-HR"/>
              </w:rPr>
              <w:t>Indeks  3/1</w:t>
            </w:r>
          </w:p>
        </w:tc>
        <w:tc>
          <w:tcPr>
            <w:tcW w:w="1126" w:type="dxa"/>
            <w:tcBorders>
              <w:top w:val="nil"/>
              <w:left w:val="nil"/>
              <w:bottom w:val="nil"/>
              <w:right w:val="nil"/>
            </w:tcBorders>
            <w:shd w:val="clear" w:color="000000" w:fill="C0C0C0"/>
            <w:noWrap/>
            <w:vAlign w:val="bottom"/>
            <w:hideMark/>
          </w:tcPr>
          <w:p w:rsidR="00C13A86" w:rsidRPr="00C13A86" w:rsidRDefault="00C13A86" w:rsidP="00C13A86">
            <w:pPr>
              <w:jc w:val="center"/>
              <w:rPr>
                <w:rFonts w:ascii="Arial" w:hAnsi="Arial" w:cs="Arial"/>
                <w:b/>
                <w:bCs/>
                <w:sz w:val="20"/>
                <w:szCs w:val="20"/>
                <w:lang w:eastAsia="hr-HR"/>
              </w:rPr>
            </w:pPr>
            <w:r w:rsidRPr="00C13A86">
              <w:rPr>
                <w:rFonts w:ascii="Arial" w:hAnsi="Arial" w:cs="Arial"/>
                <w:b/>
                <w:bCs/>
                <w:sz w:val="20"/>
                <w:szCs w:val="20"/>
                <w:lang w:eastAsia="hr-HR"/>
              </w:rPr>
              <w:t>Indeks  3/2</w:t>
            </w:r>
          </w:p>
        </w:tc>
      </w:tr>
      <w:tr w:rsidR="00C13A86" w:rsidRPr="00C13A86" w:rsidTr="00C13A86">
        <w:trPr>
          <w:trHeight w:val="264"/>
          <w:jc w:val="center"/>
        </w:trPr>
        <w:tc>
          <w:tcPr>
            <w:tcW w:w="3119" w:type="dxa"/>
            <w:tcBorders>
              <w:top w:val="nil"/>
              <w:left w:val="nil"/>
              <w:bottom w:val="nil"/>
              <w:right w:val="nil"/>
            </w:tcBorders>
            <w:shd w:val="clear" w:color="000000" w:fill="808080"/>
            <w:noWrap/>
            <w:vAlign w:val="bottom"/>
            <w:hideMark/>
          </w:tcPr>
          <w:p w:rsidR="00C13A86" w:rsidRPr="00C13A86" w:rsidRDefault="00C13A86" w:rsidP="00C13A86">
            <w:pPr>
              <w:rPr>
                <w:rFonts w:ascii="Arial" w:hAnsi="Arial" w:cs="Arial"/>
                <w:b/>
                <w:bCs/>
                <w:color w:val="FFFFFF"/>
                <w:sz w:val="20"/>
                <w:szCs w:val="20"/>
                <w:lang w:eastAsia="hr-HR"/>
              </w:rPr>
            </w:pPr>
            <w:r w:rsidRPr="00C13A86">
              <w:rPr>
                <w:rFonts w:ascii="Arial" w:hAnsi="Arial" w:cs="Arial"/>
                <w:b/>
                <w:bCs/>
                <w:color w:val="FFFFFF"/>
                <w:sz w:val="20"/>
                <w:szCs w:val="20"/>
                <w:lang w:eastAsia="hr-HR"/>
              </w:rPr>
              <w:t>A. RAČUN PRIHODA I RASHODA</w:t>
            </w:r>
          </w:p>
        </w:tc>
        <w:tc>
          <w:tcPr>
            <w:tcW w:w="1543" w:type="dxa"/>
            <w:tcBorders>
              <w:top w:val="nil"/>
              <w:left w:val="nil"/>
              <w:bottom w:val="nil"/>
              <w:right w:val="nil"/>
            </w:tcBorders>
            <w:shd w:val="clear" w:color="000000" w:fill="808080"/>
            <w:noWrap/>
            <w:vAlign w:val="bottom"/>
            <w:hideMark/>
          </w:tcPr>
          <w:p w:rsidR="00C13A86" w:rsidRPr="00C13A86" w:rsidRDefault="00C13A86" w:rsidP="00C13A86">
            <w:pPr>
              <w:jc w:val="center"/>
              <w:rPr>
                <w:rFonts w:ascii="Arial" w:hAnsi="Arial" w:cs="Arial"/>
                <w:b/>
                <w:bCs/>
                <w:color w:val="FFFFFF"/>
                <w:sz w:val="20"/>
                <w:szCs w:val="20"/>
                <w:lang w:eastAsia="hr-HR"/>
              </w:rPr>
            </w:pPr>
            <w:r w:rsidRPr="00C13A86">
              <w:rPr>
                <w:rFonts w:ascii="Arial" w:hAnsi="Arial" w:cs="Arial"/>
                <w:b/>
                <w:bCs/>
                <w:color w:val="FFFFFF"/>
                <w:sz w:val="20"/>
                <w:szCs w:val="20"/>
                <w:lang w:eastAsia="hr-HR"/>
              </w:rPr>
              <w:t>1</w:t>
            </w:r>
          </w:p>
        </w:tc>
        <w:tc>
          <w:tcPr>
            <w:tcW w:w="1815" w:type="dxa"/>
            <w:tcBorders>
              <w:top w:val="nil"/>
              <w:left w:val="nil"/>
              <w:bottom w:val="nil"/>
              <w:right w:val="nil"/>
            </w:tcBorders>
            <w:shd w:val="clear" w:color="000000" w:fill="808080"/>
            <w:noWrap/>
            <w:vAlign w:val="bottom"/>
            <w:hideMark/>
          </w:tcPr>
          <w:p w:rsidR="00C13A86" w:rsidRPr="00C13A86" w:rsidRDefault="00C13A86" w:rsidP="00C13A86">
            <w:pPr>
              <w:jc w:val="center"/>
              <w:rPr>
                <w:rFonts w:ascii="Arial" w:hAnsi="Arial" w:cs="Arial"/>
                <w:b/>
                <w:bCs/>
                <w:color w:val="FFFFFF"/>
                <w:sz w:val="20"/>
                <w:szCs w:val="20"/>
                <w:lang w:eastAsia="hr-HR"/>
              </w:rPr>
            </w:pPr>
            <w:r w:rsidRPr="00C13A86">
              <w:rPr>
                <w:rFonts w:ascii="Arial" w:hAnsi="Arial" w:cs="Arial"/>
                <w:b/>
                <w:bCs/>
                <w:color w:val="FFFFFF"/>
                <w:sz w:val="20"/>
                <w:szCs w:val="20"/>
                <w:lang w:eastAsia="hr-HR"/>
              </w:rPr>
              <w:t>2</w:t>
            </w:r>
          </w:p>
        </w:tc>
        <w:tc>
          <w:tcPr>
            <w:tcW w:w="1543" w:type="dxa"/>
            <w:tcBorders>
              <w:top w:val="nil"/>
              <w:left w:val="nil"/>
              <w:bottom w:val="nil"/>
              <w:right w:val="nil"/>
            </w:tcBorders>
            <w:shd w:val="clear" w:color="000000" w:fill="808080"/>
            <w:noWrap/>
            <w:vAlign w:val="bottom"/>
            <w:hideMark/>
          </w:tcPr>
          <w:p w:rsidR="00C13A86" w:rsidRPr="00C13A86" w:rsidRDefault="00C13A86" w:rsidP="00C13A86">
            <w:pPr>
              <w:jc w:val="center"/>
              <w:rPr>
                <w:rFonts w:ascii="Arial" w:hAnsi="Arial" w:cs="Arial"/>
                <w:b/>
                <w:bCs/>
                <w:color w:val="FFFFFF"/>
                <w:sz w:val="20"/>
                <w:szCs w:val="20"/>
                <w:lang w:eastAsia="hr-HR"/>
              </w:rPr>
            </w:pPr>
            <w:r w:rsidRPr="00C13A86">
              <w:rPr>
                <w:rFonts w:ascii="Arial" w:hAnsi="Arial" w:cs="Arial"/>
                <w:b/>
                <w:bCs/>
                <w:color w:val="FFFFFF"/>
                <w:sz w:val="20"/>
                <w:szCs w:val="20"/>
                <w:lang w:eastAsia="hr-HR"/>
              </w:rPr>
              <w:t>3</w:t>
            </w:r>
          </w:p>
        </w:tc>
        <w:tc>
          <w:tcPr>
            <w:tcW w:w="1126" w:type="dxa"/>
            <w:tcBorders>
              <w:top w:val="nil"/>
              <w:left w:val="nil"/>
              <w:bottom w:val="nil"/>
              <w:right w:val="nil"/>
            </w:tcBorders>
            <w:shd w:val="clear" w:color="000000" w:fill="808080"/>
            <w:noWrap/>
            <w:vAlign w:val="bottom"/>
            <w:hideMark/>
          </w:tcPr>
          <w:p w:rsidR="00C13A86" w:rsidRPr="00C13A86" w:rsidRDefault="00C13A86" w:rsidP="00C13A86">
            <w:pPr>
              <w:jc w:val="center"/>
              <w:rPr>
                <w:rFonts w:ascii="Arial" w:hAnsi="Arial" w:cs="Arial"/>
                <w:b/>
                <w:bCs/>
                <w:color w:val="FFFFFF"/>
                <w:sz w:val="20"/>
                <w:szCs w:val="20"/>
                <w:lang w:eastAsia="hr-HR"/>
              </w:rPr>
            </w:pPr>
            <w:r w:rsidRPr="00C13A86">
              <w:rPr>
                <w:rFonts w:ascii="Arial" w:hAnsi="Arial" w:cs="Arial"/>
                <w:b/>
                <w:bCs/>
                <w:color w:val="FFFFFF"/>
                <w:sz w:val="20"/>
                <w:szCs w:val="20"/>
                <w:lang w:eastAsia="hr-HR"/>
              </w:rPr>
              <w:t>4</w:t>
            </w:r>
          </w:p>
        </w:tc>
        <w:tc>
          <w:tcPr>
            <w:tcW w:w="1126" w:type="dxa"/>
            <w:tcBorders>
              <w:top w:val="nil"/>
              <w:left w:val="nil"/>
              <w:bottom w:val="nil"/>
              <w:right w:val="nil"/>
            </w:tcBorders>
            <w:shd w:val="clear" w:color="000000" w:fill="808080"/>
            <w:noWrap/>
            <w:vAlign w:val="bottom"/>
            <w:hideMark/>
          </w:tcPr>
          <w:p w:rsidR="00C13A86" w:rsidRPr="00C13A86" w:rsidRDefault="00C13A86" w:rsidP="00C13A86">
            <w:pPr>
              <w:jc w:val="center"/>
              <w:rPr>
                <w:rFonts w:ascii="Arial" w:hAnsi="Arial" w:cs="Arial"/>
                <w:b/>
                <w:bCs/>
                <w:color w:val="FFFFFF"/>
                <w:sz w:val="20"/>
                <w:szCs w:val="20"/>
                <w:lang w:eastAsia="hr-HR"/>
              </w:rPr>
            </w:pPr>
            <w:r w:rsidRPr="00C13A86">
              <w:rPr>
                <w:rFonts w:ascii="Arial" w:hAnsi="Arial" w:cs="Arial"/>
                <w:b/>
                <w:bCs/>
                <w:color w:val="FFFFFF"/>
                <w:sz w:val="20"/>
                <w:szCs w:val="20"/>
                <w:lang w:eastAsia="hr-HR"/>
              </w:rPr>
              <w:t>5</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 Prihodi poslovanja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50.278.625,51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78.397.521,00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54.559.280,00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108,51%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69,59%</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61 Prihodi od poreza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18.164.791,57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27.102.608,00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24.547.975,64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135,14%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90,57%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611 Porez i prirez na dohodak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11.279.426,41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17.909.760,00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16.285.181,55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144,38%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90,93%</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6111 Porez i prirez na dohodak od nesamostalnog rada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11.982.764,12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14.235.337,40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118,80%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6112 Porez i prirez na dohodak od samostalnih djelatnosti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529.283,47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970.939,09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183,44%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6113 Porez i prirez na dohodak od imovine i imovinskih prava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1.770.092,85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1.954.090,97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110,39%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6114 Porez i prirez na dohodak od kapitala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6,54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6,13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93,73%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6117 Povrat poreza i prireza na dohodak po godišnjoj prijavi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-3.002.720,57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-875.192,04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29,15%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613 Porezi na imovinu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6.198.045,19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8.126.848,00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7.327.782,11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118,23%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90,17%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6131 Stalni porezi na nepokretnu imovinu (zemlju, zgrade, kuće i ostalo)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1.451.548,18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1.369.918,92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94,38%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6134 Povremeni porezi na imovinu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4.746.497,01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5.957.863,19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125,52%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614 Porezi na robu i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687.319,97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1.066.000,00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935.011,98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136,04%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87,71%</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6142 Porez na promet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686.576,39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935.011,98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136,18%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6145 Porezi na korištenje dobara ili izvođenje aktivnosti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743,58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63 Pomoći iz inozemstva i od subjekata unutar općeg proračuna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9.150.234,82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3.917.373,00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3.788.619,22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41,40%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96,71%</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633 Pomoći proračunu iz drugih proračuna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6.125.889,65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560.000,00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543.511,51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8,87%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97,06%</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6331 Tekuće pomoći proračunu iz drugih proračuna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235.446,25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284.377,76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120,78%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6332 Kapitalne pomoći proračunu iz drugih proračuna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5.890.443,40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259.133,75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634 Pomoći od izvanproračunskih korisnika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635 Pomoći izravnanja za decentralizirane funkcije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2.874.145,17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2.900.000,00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2.816.532,09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98,00%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97,12%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6351 Tekuće pomoći izravnanja za decentralizirane funkcije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2.874.145,17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2.816.532,09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98,00%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636 Pomoći proračunskim korisnicima iz proračuna koji im nije nadležan</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133.200,00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97.000,00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304.809,75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228,84%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314,24%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6361 Tekuće pomoći proračunskim korisnicima iz proračuna koji im nije nadležan</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66.200,00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304.809,75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460,44%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6362 Kapitalne pomoći proračunskim korisnicima iz proračuna koji im nije nadležan</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67.000,00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638 Pomoći temeljem prijenosa EU sredstava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17.000,00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355.373,00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123.765,87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728,03%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34,83%</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6381 Tekuće pomoći temeljem prijenosa EU sredstava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17.000,00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123.765,87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728,03%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lastRenderedPageBreak/>
              <w:t xml:space="preserve">64 Prihodi od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5.949.972,14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14.252.540,00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8.761.494,77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147,25%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61,47%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641 Prihodi od financijske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160.139,17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203.040,00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141.553,51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88,39%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69,72%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6413 Kamate na oročena sredstva i depozite po viđenju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29,94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0,16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0,53%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6414 Prihodi od zateznih kamata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160.109,23</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141.553,35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88,41%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642 Prihodi od nefinancijske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5.789.832,97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14.049.500,00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8.619.941,26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148,88%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61,35%</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6421 Naknade za koncesije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1.640.916,17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1.586.337,01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96,67%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6422 Prihodi od zakupa i iznajmljivanja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4.113.212,16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7.003.665,68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170,27%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6429 Ostali prihodi od nefinancijske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35.704,64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29.938,57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83,85%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65 Prihodi od upravnih i administrativnih pristojbi, pristojbi po posebnim propisima i naknada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16.885.762,14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33.013.000,00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17.353.866,67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102,77%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52,57%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651 Upravne i administrativne pristojbe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1.404.672,22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2.098.000,00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1.527.822,30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108,77%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72,82%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6512 Županijske, gradske i općinske pristojbe i naknade</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1.390,00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4.874,71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350,70%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6513 Ostale upravne pristojbe i naknade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107.824,42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51.277,98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47,56%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6514 Ostale pristojbe i naknade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1.295.457,80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1.471.669,61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113,60%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652 Prihodi po posebnim propisima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2.333.940,25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3.035.000,00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2.784.375,68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119,30%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91,74%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6522 Prihodi vodnog gospodarstva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25.887,34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14.239,68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55,01%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6524 Doprinosi za šume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84,71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1.715,40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6526 Ostali nespomenuti prihodi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2.307.968,20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2.768.420,60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119,95%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653 Komunalni doprinosi i naknade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13.147.149,67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27.880.000,00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13.041.668,69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99,20%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46,78%</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6531 Komunalni doprinosi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3.662.003,95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4.577.987,68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125,01%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6532 Komunalne naknade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9.485.145,72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8.463.681,01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89,23%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66 Prihodi od prodaje proizvoda i robe te pruženih usluga i prihodi od donacija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127.864,84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112.000,00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107.323,70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83,94%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95,82%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661 Prihodi od prodaje proizvoda i robe te pruženih usluga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77.400,90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83.922,20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108,43%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93,25%</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6615 Prihodi od pruženih usluga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77.400,90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83.922,20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108,43%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663 Donacije od pravnih i fizičkih osoba izvan općeg proračuna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50.463,94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22.000,00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23.401,50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46,37%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106,37%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6631 Tekuće donacije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47.265,94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23.401,50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49,51%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6632 Kapitalne donacije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3.198,00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7 Prihodi od prodaje nefinancijske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5.186.107,20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24.702.541,00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15.133.155,45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291,80%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61,26%</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71 Prihodi od prodaje neproizvedene dugotrajne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4.938.854,78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23.502.541,00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14.216.235,02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287,84%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60,49%</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711 Prihodi od prodaje materijalne imovine - prirodnih bogatstava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4.938.854,78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23.502.541,00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14.216.235,02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287,84%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60,49%</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7111 Zemljište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4.938.854,78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14.216.235,02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287,84%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lastRenderedPageBreak/>
              <w:t xml:space="preserve">72 Prihodi od prodaje proizvedene dugotrajne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247.252,42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1.200.000,00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916.920,43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370,84%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76,41%</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721 Prihodi od prodaje građevinskih objekata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247.252,42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1.200.000,00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916.920,43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370,84%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76,41%</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7211 Stambeni objekti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247.252,42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916.920,43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370,84%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 Rashodi poslovanja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38.435.029,69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54.354.128,00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43.964.487,68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114,39%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80,89%</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31 Rashodi za zaposlene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13.647.256,80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14.006.330,00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14.054.549,18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102,98%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100,34%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311 Plaće (Bruto)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11.096.782,67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11.592.200,00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11.682.230,26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105,28%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100,78%</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3111 Plaće za redovan rad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11.096.782,67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11.682.230,26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105,28%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312 Ostali rashodi za zaposlene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544.413,54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305.600,00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273.808,42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50,29%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89,60%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3121 Ostali rashodi za zaposlene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544.413,54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273.808,42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50,29%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313 Doprinosi na plaće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2.006.060,59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2.108.530,00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2.098.510,50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104,61%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99,52%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3131 Doprinosi za mirovinsko osiguranje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216.000,00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225.500,00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104,40%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3132 Doprinosi za obvezno zdravstveno osiguranje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1.790.060,59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1.873.010,50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104,63%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32 Materijalni rashodi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17.239.931,29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25.943.908,00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21.324.353,60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123,69%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82,19%</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321 Naknade troškova zaposlenima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367.722,84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604.120,00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484.602,17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131,78%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80,22%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3211 Službena putovanja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103.401,22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140.781,72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136,15%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3212 Naknade za prijevoz, za rad na terenu i odvojeni život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209.318,00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245.011,00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117,05%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3213 Stručno usavršavanje zaposlenika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55.003,62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98.809,45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179,64%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322 Rashodi za materijal i energiju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2.885.545,26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3.803.856,00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3.299.374,41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114,34%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86,74%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3221 Uredski materijal i ostali materijalni rashodi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387.030,92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461.896,16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119,34%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3222 Materijal i sirovine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485.695,53</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526.764,31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108,46%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3223 Energija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1.538.022,59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2.063.805,23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134,19%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3224 Materijal i dijelovi za tekuće i investicijsko održavanje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167.470,75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81.757,78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48,82%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3225 Sitni inventar i auto gume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147.082,39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83.834,98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57,00%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3227 Službena, radna i zaštitna odjeća i obuća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160.243,08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81.315,95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50,75%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323 Rashodi za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12.196.393,00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16.562.780,00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13.246.731,89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108,61%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79,98%</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3231 Usluge telefona, pošte i prijevoza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331.108,37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377.038,97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113,87%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3232 Usluge tekućeg i investicijskog održavanja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4.933.750,72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4.891.037,03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99,13%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3233 Usluge promidžbe i informiranja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266.282,18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155.895,46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58,55%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3234 Komunalne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1.154.333,42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1.547.458,40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134,06%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3235 Zakupnine i najamnine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244.744,61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265.695,18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108,56%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3236 Zdravstvene i veterinarske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136.757,50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61.768,50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45,17%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3237 Intelektualne i osobne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2.043.414,34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2.185.941,09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106,97%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3238 Računalne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366.907,28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511.012,92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139,28%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3239 Ostale usluge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2.719.094,58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3.250.884,34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119,56%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324 Naknade troškova osobama izvan radnog odnosa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3.008,44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13,08%</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lastRenderedPageBreak/>
              <w:t xml:space="preserve">3241 Naknade troškova osobama izvan radnog odnosa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3.008,44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329 Ostali nespomenuti rashodi poslovanja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1.790.170,19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4.950.152,00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4.290.636,69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239,68%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86,68%</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3291 Naknade za rad predstavničkih i izvršnih tijela, povjerenstava i slično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353.512,62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188.325,39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53,27%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3292 Premije osiguranja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232.033,65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274.209,91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118,18%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3293 Reprezentacija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261.559,50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401.443,76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153,48%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3294 Članarine i norme</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205.664,76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441.011,63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214,43%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3295 Pristojbe i naknade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175.693,35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451.153,34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256,78%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3296 Troškovi sudskih postupaka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128.113,77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188.642,80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147,25%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3299 Ostali nespomenuti rashodi poslovanja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433.592,54</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2.345.849,86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541,03%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34 Financijski rashodi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886.003,26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1.010.890,00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1.057.898,12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119,40%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104,65%</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342 Kamate za primljene kredite i zajmove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524.418,69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548.000,00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485.129,00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92,51%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88,53%</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3423 Kamate za primljene kredite i zajmove od kreditnih i ostalih financijskih institucija izvan javnog s</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524.418,69</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485.129,00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92,51%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343 Ostali financijski rashodi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361.584,57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462.890,00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572.769,12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158,41%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123,74%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3431 Bankarske usluge i usluge platnog prometa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88.676,47</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138.941,75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156,68%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3432 Negativne tečajne razlike i razlike zbog primjene valutne klauzule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325,09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3433 Zatezne kamate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272.878,10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412.959,45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151,33%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3434 Ostali nespomenuti financijski rashodi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20.542,83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36 Pomoći dane u inozemstvo i unutar općeg proračuna</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418.332,50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801.000,00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120.500,00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28,80%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15,04%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363 Pomoći unutar općeg proračuna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418.332,50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801.000,00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120.500,00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28,80%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15,04%</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3631 Tekuće pomoći unutar općeg proračuna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377.000,00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40.500,00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10,74%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3632 Kapitalne pomoći unutar općeg proračuna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41.332,50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80.000,00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193,55%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37 Naknade građanima i kućanstvima na temelju osiguranja i druge naknade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1.639.855,66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3.610.000,00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2.240.741,62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136,64%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62,07%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372 Ostale naknade građanima i kućanstvima iz proračuna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1.639.855,66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3.610.000,00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2.240.741,62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136,64%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62,07%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3721 Naknade građanima i kućanstvima u novcu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1.639.855,66</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2.240.741,62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136,64%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38 Ostali rashodi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4.603.650,18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8.982.000,00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5.166.445,16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112,22%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57,52%</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381 Tekuće donacije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4.060.579,68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5.972.000,00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4.589.789,89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113,03%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76,86%</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3811 Tekuće donacije u novcu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4.060.579,68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4.589.789,89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113,03%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382 Kapitalne donacije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543.070,50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2.480.000,00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560.455,27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103,20%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22,60%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3821 Kapitalne donacije neprofitnim organizacijama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339.984,00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560.455,27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164,85%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3822 Kapitalne donacije građanima i kućanstvima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203.086,50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383 Kazne, penali i naknade štete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400.000,00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16.200,00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4,05%</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lastRenderedPageBreak/>
              <w:t xml:space="preserve">3831 Naknade šteta pravnim i fizičkim osobama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16.200,00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386 Kapitalne pomoći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 Rashodi za nabavu nefinancijske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23.213.756,31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28.290.500,00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15.247.462,76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65,68%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53,90%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41 Rashodi za nabavu neproizvedene dugotrajne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3.277.891,63</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600.000,00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785.577,22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23,97%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130,93%</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411 Materijalna imovina - prirodna bogatstva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3.277.891,63</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600.000,00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785.577,22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23,97%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130,93%</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4111 Zemljište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3.277.891,63</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785.577,22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23,97%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42 Rashodi za nabavu proizvedene dugotrajne imovine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19.935.864,68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27.665.500,00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14.461.885,54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72,54%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52,27%</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421 Građevinski objekti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17.252.467,08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23.710.000,00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11.581.687,89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67,13%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48,85%</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4211 Stambeni objekti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2.081.915,42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4.539.102,00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218,03%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4212 Poslovni objekti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13.477.523,31</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1.872.201,98</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13,89%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4213 Ceste, željeznice i ostali prometni objekti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137.500,00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4214 Ostali građevinski objekti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1.555.528,35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5.170.383,91</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332,39%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422 Postrojenja i oprema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1.143.114,98</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1.608.500,00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536.552,17</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46,94%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33,36%</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4221 Uredska oprema i namještaj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131.324,60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64.425,54</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49,06%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4222 Komunikacijska oprema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3.800,00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2.500,00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65,79%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4223 Oprema za održavanje i zaštitu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36.518,83</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7.700,00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21,09%</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4227 Uređaji, strojevi i oprema za ostale namjene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971.471,55</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461.926,63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47,55%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424 Knjige, umjetnička djela i ostale izložbene vrijednosti</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224.167,62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307.000,00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296.858,33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132,43%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96,70%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4241 Knjige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217.167,62</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252.558,33</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116,30%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4243 Muzejski izlošci i predmeti prirodnih rijetkosti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7.000,00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44.300,00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632,86%</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426 Nematerijalna proizvedena imovina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1.316.115,00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2.040.000,00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2.046.787,15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155,52%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100,33%</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sz w:val="20"/>
                <w:szCs w:val="20"/>
                <w:lang w:eastAsia="hr-HR"/>
              </w:rPr>
            </w:pPr>
            <w:r w:rsidRPr="00C13A86">
              <w:rPr>
                <w:rFonts w:ascii="Arial" w:hAnsi="Arial" w:cs="Arial"/>
                <w:sz w:val="20"/>
                <w:szCs w:val="20"/>
                <w:lang w:eastAsia="hr-HR"/>
              </w:rPr>
              <w:t xml:space="preserve">4264 Ostala nematerijalna proizvedena imovina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1.316.115,00</w:t>
            </w: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2.046.787,15</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155,52%</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sz w:val="20"/>
                <w:szCs w:val="20"/>
                <w:lang w:eastAsia="hr-HR"/>
              </w:rPr>
            </w:pPr>
            <w:r w:rsidRPr="00C13A86">
              <w:rPr>
                <w:rFonts w:ascii="Arial" w:hAnsi="Arial" w:cs="Arial"/>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45 Rashodi za dodatna ulaganja na nefinancijskoj imovini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25.000,00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r>
      <w:tr w:rsidR="00C13A86" w:rsidRPr="00C13A86" w:rsidTr="00C13A86">
        <w:trPr>
          <w:trHeight w:val="264"/>
          <w:jc w:val="center"/>
        </w:trPr>
        <w:tc>
          <w:tcPr>
            <w:tcW w:w="3119"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r w:rsidRPr="00C13A86">
              <w:rPr>
                <w:rFonts w:ascii="Arial" w:hAnsi="Arial" w:cs="Arial"/>
                <w:b/>
                <w:bCs/>
                <w:sz w:val="20"/>
                <w:szCs w:val="20"/>
                <w:lang w:eastAsia="hr-HR"/>
              </w:rPr>
              <w:t xml:space="preserve">451 Dodatna ulaganja na građevinskim objektima                                                          </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rPr>
                <w:rFonts w:ascii="Arial" w:hAnsi="Arial" w:cs="Arial"/>
                <w:b/>
                <w:bCs/>
                <w:sz w:val="20"/>
                <w:szCs w:val="20"/>
                <w:lang w:eastAsia="hr-HR"/>
              </w:rPr>
            </w:pPr>
          </w:p>
        </w:tc>
        <w:tc>
          <w:tcPr>
            <w:tcW w:w="1815"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25.000,00</w:t>
            </w:r>
          </w:p>
        </w:tc>
        <w:tc>
          <w:tcPr>
            <w:tcW w:w="1543"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c>
          <w:tcPr>
            <w:tcW w:w="1126" w:type="dxa"/>
            <w:tcBorders>
              <w:top w:val="nil"/>
              <w:left w:val="nil"/>
              <w:bottom w:val="nil"/>
              <w:right w:val="nil"/>
            </w:tcBorders>
            <w:shd w:val="clear" w:color="auto" w:fill="auto"/>
            <w:noWrap/>
            <w:vAlign w:val="bottom"/>
            <w:hideMark/>
          </w:tcPr>
          <w:p w:rsidR="00C13A86" w:rsidRPr="00C13A86" w:rsidRDefault="00C13A86" w:rsidP="00C13A86">
            <w:pPr>
              <w:jc w:val="right"/>
              <w:rPr>
                <w:rFonts w:ascii="Arial" w:hAnsi="Arial" w:cs="Arial"/>
                <w:b/>
                <w:bCs/>
                <w:sz w:val="20"/>
                <w:szCs w:val="20"/>
                <w:lang w:eastAsia="hr-HR"/>
              </w:rPr>
            </w:pPr>
            <w:r w:rsidRPr="00C13A86">
              <w:rPr>
                <w:rFonts w:ascii="Arial" w:hAnsi="Arial" w:cs="Arial"/>
                <w:b/>
                <w:bCs/>
                <w:sz w:val="20"/>
                <w:szCs w:val="20"/>
                <w:lang w:eastAsia="hr-HR"/>
              </w:rPr>
              <w:t>0,00%</w:t>
            </w:r>
          </w:p>
        </w:tc>
      </w:tr>
    </w:tbl>
    <w:p w:rsidR="00C13A86" w:rsidRDefault="00C13A86" w:rsidP="000A6DC7">
      <w:pPr>
        <w:jc w:val="center"/>
        <w:rPr>
          <w:rFonts w:ascii="Arial" w:hAnsi="Arial" w:cs="Arial"/>
        </w:rPr>
      </w:pPr>
    </w:p>
    <w:p w:rsidR="000A6DC7" w:rsidRDefault="000A6DC7" w:rsidP="000A6DC7">
      <w:pPr>
        <w:jc w:val="center"/>
        <w:rPr>
          <w:rFonts w:ascii="Arial" w:hAnsi="Arial" w:cs="Arial"/>
        </w:rPr>
      </w:pPr>
      <w:r>
        <w:rPr>
          <w:rFonts w:ascii="Arial" w:hAnsi="Arial" w:cs="Arial"/>
        </w:rPr>
        <w:t>***</w:t>
      </w:r>
    </w:p>
    <w:p w:rsidR="00C13A86" w:rsidRDefault="00C13A86" w:rsidP="000A6DC7">
      <w:pPr>
        <w:jc w:val="center"/>
        <w:rPr>
          <w:rFonts w:ascii="Arial" w:hAnsi="Arial" w:cs="Arial"/>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Pr="002B6238"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5"/>
        <w:gridCol w:w="7556"/>
      </w:tblGrid>
      <w:tr w:rsidR="00EC7983" w:rsidRPr="004D5A28" w:rsidTr="00EC7983">
        <w:tc>
          <w:tcPr>
            <w:tcW w:w="1526" w:type="dxa"/>
          </w:tcPr>
          <w:p w:rsidR="00EC7983" w:rsidRPr="004D5A28" w:rsidRDefault="00EC7983" w:rsidP="00EC7983">
            <w:pPr>
              <w:pStyle w:val="Bezproreda"/>
              <w:jc w:val="center"/>
              <w:rPr>
                <w:rFonts w:ascii="Arial" w:hAnsi="Arial" w:cs="Arial"/>
                <w:noProof/>
                <w:color w:val="BFBFBF" w:themeColor="background1" w:themeShade="BF"/>
                <w:sz w:val="20"/>
                <w:szCs w:val="20"/>
                <w:lang w:eastAsia="hr-HR"/>
              </w:rPr>
            </w:pPr>
          </w:p>
          <w:p w:rsidR="00EC7983" w:rsidRPr="004D5A28" w:rsidRDefault="00EC7983" w:rsidP="00EC7983">
            <w:pPr>
              <w:pStyle w:val="Bezproreda"/>
              <w:jc w:val="center"/>
              <w:rPr>
                <w:rFonts w:ascii="Arial" w:hAnsi="Arial" w:cs="Arial"/>
                <w:color w:val="BFBFBF" w:themeColor="background1" w:themeShade="BF"/>
                <w:sz w:val="20"/>
                <w:szCs w:val="20"/>
              </w:rPr>
            </w:pPr>
            <w:r w:rsidRPr="004D5A28">
              <w:rPr>
                <w:rFonts w:ascii="Arial" w:hAnsi="Arial" w:cs="Arial"/>
                <w:noProof/>
                <w:color w:val="BFBFBF" w:themeColor="background1" w:themeShade="BF"/>
                <w:sz w:val="20"/>
                <w:szCs w:val="20"/>
              </w:rPr>
              <w:drawing>
                <wp:inline distT="0" distB="0" distL="0" distR="0" wp14:anchorId="58977DCB" wp14:editId="46C1C3DD">
                  <wp:extent cx="409575" cy="447675"/>
                  <wp:effectExtent l="0" t="0" r="9525" b="9525"/>
                  <wp:docPr id="5" name="Slika 5"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4D5A28" w:rsidRDefault="00EC7983" w:rsidP="00EC7983">
            <w:pPr>
              <w:pStyle w:val="Bezproreda"/>
              <w:jc w:val="center"/>
              <w:rPr>
                <w:rFonts w:ascii="Arial" w:hAnsi="Arial" w:cs="Arial"/>
                <w:b/>
                <w:color w:val="BFBFBF" w:themeColor="background1" w:themeShade="BF"/>
                <w:sz w:val="20"/>
                <w:szCs w:val="20"/>
              </w:rPr>
            </w:pPr>
          </w:p>
          <w:p w:rsidR="00EC7983" w:rsidRPr="004D5A28" w:rsidRDefault="00EC7983" w:rsidP="00EC7983">
            <w:pPr>
              <w:pStyle w:val="Bezproreda"/>
              <w:jc w:val="center"/>
              <w:rPr>
                <w:rFonts w:ascii="Arial" w:hAnsi="Arial" w:cs="Arial"/>
                <w:b/>
                <w:sz w:val="20"/>
                <w:szCs w:val="20"/>
              </w:rPr>
            </w:pPr>
            <w:r w:rsidRPr="004D5A28">
              <w:rPr>
                <w:rFonts w:ascii="Arial" w:hAnsi="Arial" w:cs="Arial"/>
                <w:b/>
                <w:sz w:val="20"/>
                <w:szCs w:val="20"/>
              </w:rPr>
              <w:t>REPUBLIKA HRVATSKA</w:t>
            </w:r>
          </w:p>
          <w:p w:rsidR="00EC7983" w:rsidRPr="004D5A28" w:rsidRDefault="00EC7983" w:rsidP="00EC7983">
            <w:pPr>
              <w:pStyle w:val="Bezproreda"/>
              <w:jc w:val="center"/>
              <w:rPr>
                <w:rFonts w:ascii="Arial" w:hAnsi="Arial" w:cs="Arial"/>
                <w:b/>
                <w:sz w:val="20"/>
                <w:szCs w:val="20"/>
              </w:rPr>
            </w:pPr>
            <w:r w:rsidRPr="004D5A28">
              <w:rPr>
                <w:rFonts w:ascii="Arial" w:hAnsi="Arial" w:cs="Arial"/>
                <w:b/>
                <w:sz w:val="20"/>
                <w:szCs w:val="20"/>
              </w:rPr>
              <w:t>ZADARSKA ŽUPANIJA</w:t>
            </w:r>
          </w:p>
          <w:p w:rsidR="00EC7983" w:rsidRPr="004D5A28" w:rsidRDefault="00EC7983" w:rsidP="00EC7983">
            <w:pPr>
              <w:pStyle w:val="Bezproreda"/>
              <w:jc w:val="center"/>
              <w:rPr>
                <w:rFonts w:ascii="Arial" w:hAnsi="Arial" w:cs="Arial"/>
                <w:b/>
                <w:sz w:val="20"/>
                <w:szCs w:val="20"/>
              </w:rPr>
            </w:pPr>
            <w:r w:rsidRPr="004D5A28">
              <w:rPr>
                <w:rFonts w:ascii="Arial" w:hAnsi="Arial" w:cs="Arial"/>
                <w:b/>
                <w:sz w:val="20"/>
                <w:szCs w:val="20"/>
              </w:rPr>
              <w:t>GRAD BIOGRAD NA MORU</w:t>
            </w:r>
          </w:p>
          <w:p w:rsidR="00EC7983" w:rsidRPr="004D5A28" w:rsidRDefault="00EC7983" w:rsidP="00EC7983">
            <w:pPr>
              <w:pStyle w:val="Bezproreda"/>
              <w:jc w:val="center"/>
              <w:rPr>
                <w:rFonts w:ascii="Arial" w:hAnsi="Arial" w:cs="Arial"/>
                <w:color w:val="BFBFBF" w:themeColor="background1" w:themeShade="BF"/>
                <w:sz w:val="20"/>
                <w:szCs w:val="20"/>
              </w:rPr>
            </w:pPr>
          </w:p>
        </w:tc>
      </w:tr>
    </w:tbl>
    <w:p w:rsidR="00EC7983" w:rsidRPr="004D5A28" w:rsidRDefault="00EC7983" w:rsidP="00EC7983">
      <w:pPr>
        <w:rPr>
          <w:rFonts w:ascii="Arial" w:hAnsi="Arial" w:cs="Arial"/>
          <w:sz w:val="20"/>
          <w:szCs w:val="20"/>
        </w:rPr>
      </w:pPr>
    </w:p>
    <w:p w:rsidR="00EC7983" w:rsidRPr="004D5A28" w:rsidRDefault="00EC7983" w:rsidP="00EC7983">
      <w:pPr>
        <w:rPr>
          <w:rFonts w:ascii="Arial" w:hAnsi="Arial" w:cs="Arial"/>
          <w:sz w:val="20"/>
          <w:szCs w:val="20"/>
        </w:rPr>
      </w:pPr>
    </w:p>
    <w:p w:rsidR="00EC7983" w:rsidRPr="004D5A28" w:rsidRDefault="00EC7983" w:rsidP="00EC7983">
      <w:pPr>
        <w:rPr>
          <w:rFonts w:ascii="Arial" w:hAnsi="Arial" w:cs="Arial"/>
          <w:sz w:val="20"/>
          <w:szCs w:val="20"/>
        </w:rPr>
      </w:pPr>
    </w:p>
    <w:p w:rsidR="00EC7983" w:rsidRPr="004D5A28"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4D5A28" w:rsidRDefault="00C13A86" w:rsidP="00EC7983">
      <w:pPr>
        <w:rPr>
          <w:rFonts w:ascii="Arial" w:hAnsi="Arial" w:cs="Arial"/>
          <w:sz w:val="20"/>
          <w:szCs w:val="20"/>
        </w:rPr>
      </w:pPr>
    </w:p>
    <w:p w:rsidR="00EC7983" w:rsidRPr="004D5A28"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4D5A28" w:rsidTr="00EC7983">
        <w:tc>
          <w:tcPr>
            <w:tcW w:w="2235" w:type="dxa"/>
            <w:vMerge w:val="restart"/>
            <w:vAlign w:val="center"/>
          </w:tcPr>
          <w:p w:rsidR="00EC7983" w:rsidRPr="004D5A28" w:rsidRDefault="00EC7983" w:rsidP="00EC7983">
            <w:pPr>
              <w:pStyle w:val="Bezproreda"/>
              <w:jc w:val="center"/>
              <w:rPr>
                <w:rFonts w:ascii="Arial" w:hAnsi="Arial" w:cs="Arial"/>
                <w:b/>
                <w:sz w:val="20"/>
                <w:szCs w:val="20"/>
              </w:rPr>
            </w:pPr>
            <w:r w:rsidRPr="004D5A28">
              <w:rPr>
                <w:rFonts w:ascii="Arial" w:hAnsi="Arial" w:cs="Arial"/>
                <w:b/>
                <w:sz w:val="20"/>
                <w:szCs w:val="20"/>
              </w:rPr>
              <w:t>Prilog: 3</w:t>
            </w:r>
          </w:p>
        </w:tc>
        <w:tc>
          <w:tcPr>
            <w:tcW w:w="7053" w:type="dxa"/>
          </w:tcPr>
          <w:p w:rsidR="00EC7983" w:rsidRPr="004D5A28" w:rsidRDefault="00EC7983" w:rsidP="00EC7983">
            <w:pPr>
              <w:pStyle w:val="Bezproreda"/>
              <w:rPr>
                <w:rFonts w:ascii="Arial" w:hAnsi="Arial" w:cs="Arial"/>
                <w:b/>
                <w:sz w:val="20"/>
                <w:szCs w:val="20"/>
              </w:rPr>
            </w:pPr>
          </w:p>
          <w:p w:rsidR="00EC7983" w:rsidRPr="004D5A28" w:rsidRDefault="00EC7983" w:rsidP="00EC7983">
            <w:pPr>
              <w:pStyle w:val="Bezproreda"/>
              <w:rPr>
                <w:rFonts w:ascii="Arial" w:hAnsi="Arial" w:cs="Arial"/>
                <w:b/>
                <w:sz w:val="20"/>
                <w:szCs w:val="20"/>
              </w:rPr>
            </w:pPr>
            <w:r w:rsidRPr="004D5A28">
              <w:rPr>
                <w:rFonts w:ascii="Arial" w:hAnsi="Arial" w:cs="Arial"/>
                <w:b/>
                <w:sz w:val="20"/>
                <w:szCs w:val="20"/>
              </w:rPr>
              <w:t>GODIŠNJI IZVJEŠTAJ O IZVRŠENJU PRORAČUNA GRADA BIOGRADA NA MORU ZA 2022. GODINU</w:t>
            </w:r>
          </w:p>
          <w:p w:rsidR="00EC7983" w:rsidRPr="004D5A28" w:rsidRDefault="00EC7983" w:rsidP="00EC7983">
            <w:pPr>
              <w:pStyle w:val="Bezproreda"/>
              <w:rPr>
                <w:rFonts w:ascii="Arial" w:hAnsi="Arial" w:cs="Arial"/>
                <w:b/>
                <w:sz w:val="20"/>
                <w:szCs w:val="20"/>
              </w:rPr>
            </w:pPr>
          </w:p>
        </w:tc>
      </w:tr>
      <w:tr w:rsidR="00EC7983" w:rsidRPr="004D5A28" w:rsidTr="00C13A86">
        <w:tc>
          <w:tcPr>
            <w:tcW w:w="2235" w:type="dxa"/>
            <w:vMerge/>
            <w:tcBorders>
              <w:bottom w:val="single" w:sz="4" w:space="0" w:color="auto"/>
            </w:tcBorders>
          </w:tcPr>
          <w:p w:rsidR="00EC7983" w:rsidRPr="004D5A28" w:rsidRDefault="00EC7983" w:rsidP="00EC7983">
            <w:pPr>
              <w:pStyle w:val="Bezproreda"/>
              <w:rPr>
                <w:rFonts w:ascii="Arial" w:hAnsi="Arial" w:cs="Arial"/>
                <w:sz w:val="20"/>
                <w:szCs w:val="20"/>
              </w:rPr>
            </w:pPr>
          </w:p>
        </w:tc>
        <w:tc>
          <w:tcPr>
            <w:tcW w:w="7053" w:type="dxa"/>
          </w:tcPr>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b/>
                <w:sz w:val="20"/>
                <w:szCs w:val="20"/>
              </w:rPr>
            </w:pPr>
            <w:r w:rsidRPr="004D5A28">
              <w:rPr>
                <w:rFonts w:ascii="Arial" w:hAnsi="Arial" w:cs="Arial"/>
                <w:b/>
                <w:sz w:val="20"/>
                <w:szCs w:val="20"/>
              </w:rPr>
              <w:t>Opći dio proračuna: Račun prihoda i rashoda prema izvorima financiranja</w:t>
            </w:r>
          </w:p>
          <w:p w:rsidR="00EC7983" w:rsidRPr="004D5A28" w:rsidRDefault="00EC7983" w:rsidP="00EC7983">
            <w:pPr>
              <w:pStyle w:val="Bezproreda"/>
              <w:rPr>
                <w:rFonts w:ascii="Arial" w:hAnsi="Arial" w:cs="Arial"/>
                <w:sz w:val="20"/>
                <w:szCs w:val="20"/>
              </w:rPr>
            </w:pPr>
          </w:p>
        </w:tc>
      </w:tr>
    </w:tbl>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73"/>
        <w:gridCol w:w="2905"/>
        <w:gridCol w:w="3683"/>
      </w:tblGrid>
      <w:tr w:rsidR="00EC7983" w:rsidRPr="004D5A28" w:rsidTr="00EC7983">
        <w:tc>
          <w:tcPr>
            <w:tcW w:w="2518" w:type="dxa"/>
          </w:tcPr>
          <w:p w:rsidR="00EC7983" w:rsidRPr="004D5A28" w:rsidRDefault="00EC7983" w:rsidP="00EC7983">
            <w:pPr>
              <w:pStyle w:val="Bezproreda"/>
              <w:rPr>
                <w:rFonts w:ascii="Arial" w:hAnsi="Arial" w:cs="Arial"/>
                <w:sz w:val="20"/>
                <w:szCs w:val="20"/>
              </w:rPr>
            </w:pPr>
          </w:p>
          <w:p w:rsidR="00EC7983" w:rsidRPr="004D5A28" w:rsidRDefault="00EC7983" w:rsidP="00EC7983">
            <w:pPr>
              <w:pStyle w:val="Bezproreda"/>
              <w:jc w:val="center"/>
              <w:rPr>
                <w:rFonts w:ascii="Arial" w:hAnsi="Arial" w:cs="Arial"/>
                <w:sz w:val="20"/>
                <w:szCs w:val="20"/>
              </w:rPr>
            </w:pPr>
            <w:r w:rsidRPr="004D5A28">
              <w:rPr>
                <w:rFonts w:ascii="Arial" w:hAnsi="Arial" w:cs="Arial"/>
                <w:sz w:val="20"/>
                <w:szCs w:val="20"/>
              </w:rPr>
              <w:t>KLASA:400-01/23-04/01</w:t>
            </w:r>
          </w:p>
          <w:p w:rsidR="00EC7983" w:rsidRPr="004D5A28" w:rsidRDefault="00EC7983" w:rsidP="00EC7983">
            <w:pPr>
              <w:pStyle w:val="Bezproreda"/>
              <w:rPr>
                <w:rFonts w:ascii="Arial" w:hAnsi="Arial" w:cs="Arial"/>
                <w:sz w:val="20"/>
                <w:szCs w:val="20"/>
              </w:rPr>
            </w:pPr>
          </w:p>
        </w:tc>
        <w:tc>
          <w:tcPr>
            <w:tcW w:w="2977" w:type="dxa"/>
          </w:tcPr>
          <w:p w:rsidR="00EC7983" w:rsidRPr="004D5A28" w:rsidRDefault="00EC7983" w:rsidP="00EC7983">
            <w:pPr>
              <w:pStyle w:val="Bezproreda"/>
              <w:jc w:val="center"/>
              <w:rPr>
                <w:rFonts w:ascii="Arial" w:hAnsi="Arial" w:cs="Arial"/>
                <w:sz w:val="20"/>
                <w:szCs w:val="20"/>
              </w:rPr>
            </w:pPr>
          </w:p>
          <w:p w:rsidR="00EC7983" w:rsidRPr="004D5A28" w:rsidRDefault="00EC7983" w:rsidP="00EC7983">
            <w:pPr>
              <w:pStyle w:val="Bezproreda"/>
              <w:jc w:val="center"/>
              <w:rPr>
                <w:rFonts w:ascii="Arial" w:hAnsi="Arial" w:cs="Arial"/>
                <w:sz w:val="20"/>
                <w:szCs w:val="20"/>
              </w:rPr>
            </w:pPr>
            <w:r w:rsidRPr="004D5A28">
              <w:rPr>
                <w:rFonts w:ascii="Arial" w:hAnsi="Arial" w:cs="Arial"/>
                <w:sz w:val="20"/>
                <w:szCs w:val="20"/>
              </w:rPr>
              <w:t>URBROJ: 2198-16-01-23-2</w:t>
            </w:r>
          </w:p>
        </w:tc>
        <w:tc>
          <w:tcPr>
            <w:tcW w:w="3793" w:type="dxa"/>
          </w:tcPr>
          <w:p w:rsidR="00EC7983" w:rsidRPr="004D5A28" w:rsidRDefault="00EC7983" w:rsidP="00EC7983">
            <w:pPr>
              <w:pStyle w:val="Bezproreda"/>
              <w:jc w:val="center"/>
              <w:rPr>
                <w:rFonts w:ascii="Arial" w:hAnsi="Arial" w:cs="Arial"/>
                <w:sz w:val="20"/>
                <w:szCs w:val="20"/>
                <w:highlight w:val="yellow"/>
              </w:rPr>
            </w:pPr>
          </w:p>
          <w:p w:rsidR="00EC7983" w:rsidRPr="004D5A28" w:rsidRDefault="00EC7983" w:rsidP="00EC7983">
            <w:pPr>
              <w:pStyle w:val="Bezproreda"/>
              <w:jc w:val="center"/>
              <w:rPr>
                <w:rFonts w:ascii="Arial" w:hAnsi="Arial" w:cs="Arial"/>
                <w:sz w:val="20"/>
                <w:szCs w:val="20"/>
                <w:highlight w:val="yellow"/>
              </w:rPr>
            </w:pPr>
            <w:r w:rsidRPr="004D5A28">
              <w:rPr>
                <w:rFonts w:ascii="Arial" w:hAnsi="Arial" w:cs="Arial"/>
                <w:sz w:val="20"/>
                <w:szCs w:val="20"/>
              </w:rPr>
              <w:t>Biograd na Moru, 18. travnja 2023.</w:t>
            </w:r>
          </w:p>
        </w:tc>
      </w:tr>
    </w:tbl>
    <w:p w:rsidR="00EC7983" w:rsidRPr="004D5A28" w:rsidRDefault="00EC7983" w:rsidP="00EC7983">
      <w:pPr>
        <w:pStyle w:val="Bezproreda"/>
        <w:rPr>
          <w:rFonts w:ascii="Arial" w:hAnsi="Arial" w:cs="Arial"/>
          <w:sz w:val="20"/>
          <w:szCs w:val="20"/>
        </w:rPr>
      </w:pPr>
    </w:p>
    <w:p w:rsidR="000A6DC7" w:rsidRDefault="000A6DC7" w:rsidP="009E64C9">
      <w:pPr>
        <w:jc w:val="center"/>
        <w:rPr>
          <w:rFonts w:ascii="Arial" w:hAnsi="Arial" w:cs="Arial"/>
          <w:sz w:val="22"/>
          <w:szCs w:val="22"/>
          <w:lang w:eastAsia="hr-HR"/>
        </w:rPr>
      </w:pPr>
    </w:p>
    <w:p w:rsidR="00C13A86" w:rsidRDefault="00C13A86" w:rsidP="009E64C9">
      <w:pPr>
        <w:jc w:val="center"/>
        <w:rPr>
          <w:rFonts w:ascii="Arial" w:hAnsi="Arial" w:cs="Arial"/>
          <w:sz w:val="22"/>
          <w:szCs w:val="22"/>
          <w:lang w:eastAsia="hr-HR"/>
        </w:rPr>
      </w:pPr>
    </w:p>
    <w:p w:rsidR="00C13A86" w:rsidRDefault="00C13A86" w:rsidP="009E64C9">
      <w:pPr>
        <w:jc w:val="center"/>
        <w:rPr>
          <w:rFonts w:ascii="Arial" w:hAnsi="Arial" w:cs="Arial"/>
          <w:sz w:val="22"/>
          <w:szCs w:val="22"/>
          <w:lang w:eastAsia="hr-HR"/>
        </w:rPr>
      </w:pPr>
    </w:p>
    <w:tbl>
      <w:tblPr>
        <w:tblW w:w="10954" w:type="dxa"/>
        <w:jc w:val="center"/>
        <w:tblLook w:val="04A0" w:firstRow="1" w:lastRow="0" w:firstColumn="1" w:lastColumn="0" w:noHBand="0" w:noVBand="1"/>
      </w:tblPr>
      <w:tblGrid>
        <w:gridCol w:w="3969"/>
        <w:gridCol w:w="1502"/>
        <w:gridCol w:w="1768"/>
        <w:gridCol w:w="1502"/>
        <w:gridCol w:w="1117"/>
        <w:gridCol w:w="1096"/>
      </w:tblGrid>
      <w:tr w:rsidR="00C13A86" w:rsidTr="00C13A86">
        <w:trPr>
          <w:trHeight w:val="348"/>
          <w:jc w:val="center"/>
        </w:trPr>
        <w:tc>
          <w:tcPr>
            <w:tcW w:w="10954"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b/>
                <w:bCs/>
                <w:lang w:eastAsia="hr-HR"/>
              </w:rPr>
            </w:pPr>
            <w:r>
              <w:rPr>
                <w:rFonts w:ascii="Arial" w:hAnsi="Arial" w:cs="Arial"/>
                <w:b/>
                <w:bCs/>
              </w:rPr>
              <w:lastRenderedPageBreak/>
              <w:t>Prihodi i rashodi prema izvorima</w:t>
            </w:r>
          </w:p>
        </w:tc>
      </w:tr>
      <w:tr w:rsidR="00C13A86" w:rsidTr="00C13A86">
        <w:trPr>
          <w:trHeight w:val="264"/>
          <w:jc w:val="center"/>
        </w:trPr>
        <w:tc>
          <w:tcPr>
            <w:tcW w:w="10954"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r>
              <w:rPr>
                <w:rFonts w:ascii="Arial" w:hAnsi="Arial" w:cs="Arial"/>
                <w:sz w:val="20"/>
                <w:szCs w:val="20"/>
              </w:rPr>
              <w:t>Za razdoblje od 01.01.2022. do 31.12.2022.</w:t>
            </w:r>
          </w:p>
        </w:tc>
      </w:tr>
      <w:tr w:rsidR="00C13A86" w:rsidTr="00C13A86">
        <w:trPr>
          <w:trHeight w:val="264"/>
          <w:jc w:val="center"/>
        </w:trPr>
        <w:tc>
          <w:tcPr>
            <w:tcW w:w="10954"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p>
        </w:tc>
      </w:tr>
      <w:tr w:rsidR="00C13A86" w:rsidTr="00C13A86">
        <w:trPr>
          <w:trHeight w:val="264"/>
          <w:jc w:val="center"/>
        </w:trPr>
        <w:tc>
          <w:tcPr>
            <w:tcW w:w="3969"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Račun / opis</w:t>
            </w:r>
          </w:p>
        </w:tc>
        <w:tc>
          <w:tcPr>
            <w:tcW w:w="150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2021.</w:t>
            </w:r>
          </w:p>
        </w:tc>
        <w:tc>
          <w:tcPr>
            <w:tcW w:w="176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Izvorni plan 2022.</w:t>
            </w:r>
          </w:p>
        </w:tc>
        <w:tc>
          <w:tcPr>
            <w:tcW w:w="150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2022.</w:t>
            </w:r>
          </w:p>
        </w:tc>
        <w:tc>
          <w:tcPr>
            <w:tcW w:w="1117"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3/1</w:t>
            </w:r>
          </w:p>
        </w:tc>
        <w:tc>
          <w:tcPr>
            <w:tcW w:w="1096"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3/2</w:t>
            </w:r>
          </w:p>
        </w:tc>
      </w:tr>
      <w:tr w:rsidR="00C13A86" w:rsidTr="00C13A86">
        <w:trPr>
          <w:trHeight w:val="264"/>
          <w:jc w:val="center"/>
        </w:trPr>
        <w:tc>
          <w:tcPr>
            <w:tcW w:w="3969"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PRIHODI I RASHODI PREMA IZVORIMA FINANCIRANJA</w:t>
            </w:r>
          </w:p>
        </w:tc>
        <w:tc>
          <w:tcPr>
            <w:tcW w:w="150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1</w:t>
            </w:r>
          </w:p>
        </w:tc>
        <w:tc>
          <w:tcPr>
            <w:tcW w:w="176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2</w:t>
            </w:r>
          </w:p>
        </w:tc>
        <w:tc>
          <w:tcPr>
            <w:tcW w:w="150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3</w:t>
            </w:r>
          </w:p>
        </w:tc>
        <w:tc>
          <w:tcPr>
            <w:tcW w:w="1117"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4</w:t>
            </w:r>
          </w:p>
        </w:tc>
        <w:tc>
          <w:tcPr>
            <w:tcW w:w="1096"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5</w:t>
            </w:r>
          </w:p>
        </w:tc>
      </w:tr>
      <w:tr w:rsidR="00C13A86" w:rsidTr="00C13A86">
        <w:trPr>
          <w:trHeight w:val="264"/>
          <w:jc w:val="center"/>
        </w:trPr>
        <w:tc>
          <w:tcPr>
            <w:tcW w:w="3969"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SVEUKUPNI PRIHODI</w:t>
            </w:r>
          </w:p>
        </w:tc>
        <w:tc>
          <w:tcPr>
            <w:tcW w:w="150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55.464.732,71</w:t>
            </w:r>
          </w:p>
        </w:tc>
        <w:tc>
          <w:tcPr>
            <w:tcW w:w="176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103.100.062,00</w:t>
            </w:r>
          </w:p>
        </w:tc>
        <w:tc>
          <w:tcPr>
            <w:tcW w:w="150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69.692.435,45</w:t>
            </w:r>
          </w:p>
        </w:tc>
        <w:tc>
          <w:tcPr>
            <w:tcW w:w="1117"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125,65%</w:t>
            </w:r>
          </w:p>
        </w:tc>
        <w:tc>
          <w:tcPr>
            <w:tcW w:w="1096"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67,60%</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1. OPĆI PRIHODI I PRIMICI</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23.699.068,92</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41.003.148,00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33.067.287,18</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139,53%</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80,65%</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1.1. Prihodi od poreza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18.164.791,57</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27.102.608,00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24.547.975,64</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135,14%</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90,57%</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1.2. Prihodi od 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160.109,23</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141.553,35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88,41%</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70,78%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1.3. Prihodi od nefinancijske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3.969.465,96</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11.599.500,00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6.849.935,73</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172,57%</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59,05%</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1.4. Prihodi od administrativnih (upravnih) pristojbi</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1.404.672,22</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2.098.000,00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1.527.822,30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108,77%</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72,82%</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1.6. Primici od 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12,05</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0,16</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0,01%</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1.7. Prihodi od financijske imovine-pror.kor.</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17,89</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2. VLASTITI PRIHODI</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77.400,90</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90.000,00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83.922,20</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108,43%</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93,25%</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2.1. Prihodi od obavljanja vlastitih poslova na tržištu</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77.400,90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83.922,20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108,43%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93,25%</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3. PRIHODI ZA POSEBNE NAMJENE I PO POSEBNIM PROPISIMA</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17.265.752,29</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33.265.000,00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17.566.111,33</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101,74%</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52,81%</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3.1. Prihodi od komunalne naknade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9.485.145,72</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8.463.681,01</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89,23%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3.3. Prihodi od komunalnog doprinosa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3.662.003,95</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18.680.000,00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4.577.987,68</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125,01%</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24,51%</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3.4. Prihodi od sufinanciranja građana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1.060.134,89</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1.476.475,63</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139,27%</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99,09%</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3.5. Prihodi od doprinosa za šume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84,71</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1.715,40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2025,03%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57,18%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3.7. Prihodi od 8% napl.vodnog doprinosa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25.887,34</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14.239,68</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55,01%</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28,48%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3.8. Ostali prihodi za posebne namjene-pror.kor.</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1.247.833,31</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1.492.000,00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1.291.944,97</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103,54%</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86,59%</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3.9. Prihodi od koncesija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1.640.916,17</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1.586.337,01</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96,67%</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68,97%</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3.A. Prihodi od zakupa poljoprivrednog zemljišta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143.746,20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153.729,95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106,95%</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307,46%</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4. PRIHODI OD POMOĆI</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9.150.234,82</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3.917.373,00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3.788.619,22</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41,40%</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96,71%</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4.1. Tekuće pomoći iz državnog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54.895,03</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260.227,76</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474,05%</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520,46%</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4.2. Tekuće pomoći iz županijskih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180.551,22</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24.150,00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13,38%</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12,08%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4.4. Kapitalne pomoći iz državnog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5.890.443,40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259.133,75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4,40%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86,38%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4.6. Kapitalne pomoći iz općinskih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4.7. Tekuće pomoći izravnanja za decentrilizirane funkcije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2.874.145,17</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2.816.532,09</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98,00%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97,12%</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4.9. Tekuće pomoći temeljem prijenosa EU sredstava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17.000,00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243.373,00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123.765,87</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728,03%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50,85%</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4.A. Tekuće pomoći pror.korisnicima iz proračuna koji im nije nad</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66.200,00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35.000,00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304.809,75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460,44%</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870,89%</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lastRenderedPageBreak/>
              <w:t xml:space="preserve">Izvor 4.B. Kapitalne pomoći pror.korisnicima iz proračuna koji im nije </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67.000,00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62.000,00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4.C. Tekuće pomoći od izvanproračunskih korisnika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4.D. Kapitalne pomoći temeljem prijenosa EU sredstava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112.000,00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5. PRIHODI OD DONACIJA</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50.463,94</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22.000,00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23.401,50</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46,37%</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106,37%</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5.4. Prihodi od ostalih subjekata izvan opće države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5.5. Prihodi od donacija-pror.kor.</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45.463,94</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23.401,50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51,47%</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106,37%</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6. PRIH.OD PRODAJE ILI ZAMJ.NEFIN.IMOVINE I NAK. S NAS.OSIG.</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5.221.811,84</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24.802.541,00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15.163.094,02</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290,38%</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61,14%</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6.1. Prihodi od prodaje nefinancijske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5.221.811,84</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24.802.541,00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15.163.094,02</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290,38%</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61,14%</w:t>
            </w:r>
          </w:p>
        </w:tc>
      </w:tr>
      <w:tr w:rsidR="00C13A86" w:rsidTr="00C13A86">
        <w:trPr>
          <w:trHeight w:val="264"/>
          <w:jc w:val="center"/>
        </w:trPr>
        <w:tc>
          <w:tcPr>
            <w:tcW w:w="396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1502" w:type="dxa"/>
            <w:tcBorders>
              <w:top w:val="nil"/>
              <w:left w:val="nil"/>
              <w:bottom w:val="nil"/>
              <w:right w:val="nil"/>
            </w:tcBorders>
            <w:shd w:val="clear" w:color="auto" w:fill="auto"/>
            <w:noWrap/>
            <w:vAlign w:val="bottom"/>
            <w:hideMark/>
          </w:tcPr>
          <w:p w:rsidR="00C13A86" w:rsidRDefault="00C13A86">
            <w:pPr>
              <w:rPr>
                <w:sz w:val="20"/>
                <w:szCs w:val="20"/>
              </w:rPr>
            </w:pPr>
          </w:p>
        </w:tc>
        <w:tc>
          <w:tcPr>
            <w:tcW w:w="1768" w:type="dxa"/>
            <w:tcBorders>
              <w:top w:val="nil"/>
              <w:left w:val="nil"/>
              <w:bottom w:val="nil"/>
              <w:right w:val="nil"/>
            </w:tcBorders>
            <w:shd w:val="clear" w:color="auto" w:fill="auto"/>
            <w:noWrap/>
            <w:vAlign w:val="bottom"/>
            <w:hideMark/>
          </w:tcPr>
          <w:p w:rsidR="00C13A86" w:rsidRDefault="00C13A86">
            <w:pPr>
              <w:rPr>
                <w:sz w:val="20"/>
                <w:szCs w:val="20"/>
              </w:rPr>
            </w:pPr>
          </w:p>
        </w:tc>
        <w:tc>
          <w:tcPr>
            <w:tcW w:w="1502" w:type="dxa"/>
            <w:tcBorders>
              <w:top w:val="nil"/>
              <w:left w:val="nil"/>
              <w:bottom w:val="nil"/>
              <w:right w:val="nil"/>
            </w:tcBorders>
            <w:shd w:val="clear" w:color="auto" w:fill="auto"/>
            <w:noWrap/>
            <w:vAlign w:val="bottom"/>
            <w:hideMark/>
          </w:tcPr>
          <w:p w:rsidR="00C13A86" w:rsidRDefault="00C13A86">
            <w:pPr>
              <w:rPr>
                <w:sz w:val="20"/>
                <w:szCs w:val="20"/>
              </w:rPr>
            </w:pPr>
          </w:p>
        </w:tc>
        <w:tc>
          <w:tcPr>
            <w:tcW w:w="1117" w:type="dxa"/>
            <w:tcBorders>
              <w:top w:val="nil"/>
              <w:left w:val="nil"/>
              <w:bottom w:val="nil"/>
              <w:right w:val="nil"/>
            </w:tcBorders>
            <w:shd w:val="clear" w:color="auto" w:fill="auto"/>
            <w:noWrap/>
            <w:vAlign w:val="bottom"/>
            <w:hideMark/>
          </w:tcPr>
          <w:p w:rsidR="00C13A86" w:rsidRDefault="00C13A86">
            <w:pPr>
              <w:rPr>
                <w:sz w:val="20"/>
                <w:szCs w:val="20"/>
              </w:rPr>
            </w:pPr>
          </w:p>
        </w:tc>
        <w:tc>
          <w:tcPr>
            <w:tcW w:w="1096" w:type="dxa"/>
            <w:tcBorders>
              <w:top w:val="nil"/>
              <w:left w:val="nil"/>
              <w:bottom w:val="nil"/>
              <w:right w:val="nil"/>
            </w:tcBorders>
            <w:shd w:val="clear" w:color="auto" w:fill="auto"/>
            <w:noWrap/>
            <w:vAlign w:val="bottom"/>
            <w:hideMark/>
          </w:tcPr>
          <w:p w:rsidR="00C13A86" w:rsidRDefault="00C13A86">
            <w:pPr>
              <w:rPr>
                <w:sz w:val="20"/>
                <w:szCs w:val="20"/>
              </w:rPr>
            </w:pPr>
          </w:p>
        </w:tc>
      </w:tr>
      <w:tr w:rsidR="00C13A86" w:rsidTr="00C13A86">
        <w:trPr>
          <w:trHeight w:val="264"/>
          <w:jc w:val="center"/>
        </w:trPr>
        <w:tc>
          <w:tcPr>
            <w:tcW w:w="3969"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SVEUKUPNI RASHODI</w:t>
            </w:r>
          </w:p>
        </w:tc>
        <w:tc>
          <w:tcPr>
            <w:tcW w:w="150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61.638.086,00</w:t>
            </w:r>
          </w:p>
        </w:tc>
        <w:tc>
          <w:tcPr>
            <w:tcW w:w="176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82.644.628,00</w:t>
            </w:r>
          </w:p>
        </w:tc>
        <w:tc>
          <w:tcPr>
            <w:tcW w:w="150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59.211.950,44</w:t>
            </w:r>
          </w:p>
        </w:tc>
        <w:tc>
          <w:tcPr>
            <w:tcW w:w="1117"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96,06%</w:t>
            </w:r>
          </w:p>
        </w:tc>
        <w:tc>
          <w:tcPr>
            <w:tcW w:w="1096"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71,65%</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1. OPĆI PRIHODI I PRIMICI</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25.501.503,36</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36.853.441,00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29.410.134,39</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115,33%</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79,80%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1.1. Prihodi od poreza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17.034.483,78</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22.228.781,00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18.533.749,25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108,80%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83,38%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1.2. Prihodi od 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1.3. Prihodi od nefinancijske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6.658.746,17</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11.664.000,00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8.285.505,13</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124,43%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71,03%</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1.4. Prihodi od administrativnih (upravnih) pristojbi</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1.808.248,41</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2.937.620,00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2.590.880,01</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143,28%</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88,20%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1.6. Primici od 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1.7. Prihodi od financijske imovine-pror.kor.</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2. VLASTITI PRIHODI</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97.925,05</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149.000,00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124.228,79</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126,86%</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83,38%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2.1. Prihodi od obavljanja vlastitih poslova na tržištu</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97.925,05</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40.403,79</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41,26%</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67,34%</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2.2. Prihodi od obavljanja vlastitih poslova na tržištu - pror.ko</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89.000,00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83.825,00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94,19%</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3. PRIHODI ZA POSEBNE NAMJENE I PO POSEBNIM PROPISIMA</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17.155.413,30</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31.324.614,00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21.231.785,04</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123,76%</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67,78%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3.1. Prihodi od komunalne naknade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5.709.123,76</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7.945.000,00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6.000.562,73</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105,10%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75,53%</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3.3. Prihodi od komunalnog doprinosa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9.088.316,98</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18.723.500,00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12.157.992,41</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133,78%</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64,93%</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3.4. Prihodi od sufinanciranja građana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193.753,87</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136.769,76</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70,59%</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9,18%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3.5. Prihodi od doprinosa za šume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3.7. Prihodi od 8% napl.vodnog doprinosa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250.000,00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3.8. Ostali prihodi za posebne namjene-pror.kor.</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1.178.284,86</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1.537.114,00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1.344.849,16</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114,14%</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87,49%</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3.9. Prihodi od koncesija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735.933,83</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1.476.000,00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1.543.432,50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209,72%</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104,57%</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3.A. Prihodi od zakupa poljoprivrednog zemljišta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48.178,48</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96,36%</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4. PRIHODI OD POMOĆI</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3.881.846,46</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3.899.073,00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3.959.477,99</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102,00%</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101,55%</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4.1. Tekuće pomoći iz državnog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10.000,00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4.2. Tekuće pomoći iz županijskih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-17.023,58</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lastRenderedPageBreak/>
              <w:t>Izvor 4.4. Kapitalne pomoći iz državnog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193.651,25</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310.000,00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192.491,27</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99,40%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62,09%</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4.6. Kapitalne pomoći iz općinskih proračuna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4.7. Tekuće pomoći izravnanja za decentrilizirane funkcije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3.404.800,00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3.056.500,00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3.556.660,00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104,46%</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116,36%</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4.9. Tekuće pomoći temeljem prijenosa EU sredstava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258.373,00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162.980,05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63,08%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4.A. Tekuće pomoći pror.korisnicima iz proračuna koji im nije nad</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20.000,00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35.000,00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226,50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1,13%</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0,65%</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Izvor 4.B. Kapitalne pomoći pror.korisnicima iz proračuna koji im nije </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46.316,04</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62.000,00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62.000,00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133,86%</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4.C. Tekuće pomoći od izvanproračunskih korisnika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4.D. Kapitalne pomoći temeljem prijenosa EU sredstava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207.079,17</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112.200,00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2.143,75</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1,04%</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1,91%</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5. PRIHODI OD DONACIJA</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45.463,94</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22.000,00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20.401,50</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44,87%</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92,73%</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5.2. Prihodi ostvareni od neprofitnih organizacija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31.525,00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5.5. Prihodi od donacija-pror.kor.</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13.938,94</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20.401,50</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146,36%</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92,73%</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Izvor 6. PRIH.OD PRODAJE ILI ZAMJ.NEFIN.IMOVINE I NAK. S NAS.OSIG.</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14.955.933,89</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5.330.000,00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3.543.255,79</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23,69%</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66,48%</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6.1. Prihodi od prodaje nefinancijske imovine</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14.955.933,89</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5.330.000,00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3.543.255,79</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23,69%</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66,48%</w:t>
            </w:r>
          </w:p>
        </w:tc>
      </w:tr>
      <w:tr w:rsidR="00C13A86" w:rsidTr="00C13A86">
        <w:trPr>
          <w:trHeight w:val="264"/>
          <w:jc w:val="center"/>
        </w:trPr>
        <w:tc>
          <w:tcPr>
            <w:tcW w:w="3969"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Izvor 7. NAMJENSKI PRIMICI  </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76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5.066.500,00</w:t>
            </w:r>
          </w:p>
        </w:tc>
        <w:tc>
          <w:tcPr>
            <w:tcW w:w="150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922.666,94</w:t>
            </w:r>
          </w:p>
        </w:tc>
        <w:tc>
          <w:tcPr>
            <w:tcW w:w="1117"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18,21%</w:t>
            </w:r>
          </w:p>
        </w:tc>
      </w:tr>
      <w:tr w:rsidR="00C13A86" w:rsidTr="00C13A86">
        <w:trPr>
          <w:trHeight w:val="264"/>
          <w:jc w:val="center"/>
        </w:trPr>
        <w:tc>
          <w:tcPr>
            <w:tcW w:w="3969"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Izvor 7.1. Namjenski primici od zaduživanja</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76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5.066.500,00</w:t>
            </w:r>
          </w:p>
        </w:tc>
        <w:tc>
          <w:tcPr>
            <w:tcW w:w="150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922.666,94</w:t>
            </w:r>
          </w:p>
        </w:tc>
        <w:tc>
          <w:tcPr>
            <w:tcW w:w="1117"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0,00%</w:t>
            </w:r>
          </w:p>
        </w:tc>
        <w:tc>
          <w:tcPr>
            <w:tcW w:w="1096"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18,21%</w:t>
            </w:r>
          </w:p>
        </w:tc>
      </w:tr>
    </w:tbl>
    <w:p w:rsidR="00C13A86" w:rsidRDefault="00C13A86" w:rsidP="009E64C9">
      <w:pPr>
        <w:jc w:val="center"/>
        <w:rPr>
          <w:rFonts w:ascii="Arial" w:hAnsi="Arial" w:cs="Arial"/>
          <w:sz w:val="22"/>
          <w:szCs w:val="22"/>
          <w:lang w:eastAsia="hr-HR"/>
        </w:rPr>
      </w:pPr>
    </w:p>
    <w:p w:rsidR="000A6DC7" w:rsidRDefault="000A6DC7" w:rsidP="000A6DC7">
      <w:pPr>
        <w:jc w:val="center"/>
        <w:rPr>
          <w:rFonts w:ascii="Arial" w:hAnsi="Arial" w:cs="Arial"/>
        </w:rPr>
      </w:pPr>
      <w:r>
        <w:rPr>
          <w:rFonts w:ascii="Arial" w:hAnsi="Arial" w:cs="Arial"/>
        </w:rPr>
        <w:t>***</w:t>
      </w: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Pr="002B6238"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5"/>
        <w:gridCol w:w="7556"/>
      </w:tblGrid>
      <w:tr w:rsidR="00EC7983" w:rsidRPr="00F336DB" w:rsidTr="00EC7983">
        <w:tc>
          <w:tcPr>
            <w:tcW w:w="1526" w:type="dxa"/>
          </w:tcPr>
          <w:p w:rsidR="00EC7983" w:rsidRPr="00F336DB" w:rsidRDefault="00EC7983" w:rsidP="00EC7983">
            <w:pPr>
              <w:pStyle w:val="Bezproreda"/>
              <w:jc w:val="center"/>
              <w:rPr>
                <w:rFonts w:ascii="Arial" w:hAnsi="Arial" w:cs="Arial"/>
                <w:noProof/>
                <w:color w:val="BFBFBF" w:themeColor="background1" w:themeShade="BF"/>
                <w:sz w:val="20"/>
                <w:szCs w:val="20"/>
                <w:lang w:eastAsia="hr-HR"/>
              </w:rPr>
            </w:pPr>
          </w:p>
          <w:p w:rsidR="00EC7983" w:rsidRPr="00F336DB" w:rsidRDefault="00EC7983" w:rsidP="00EC7983">
            <w:pPr>
              <w:pStyle w:val="Bezproreda"/>
              <w:jc w:val="center"/>
              <w:rPr>
                <w:rFonts w:ascii="Arial" w:hAnsi="Arial" w:cs="Arial"/>
                <w:color w:val="BFBFBF" w:themeColor="background1" w:themeShade="BF"/>
                <w:sz w:val="20"/>
                <w:szCs w:val="20"/>
              </w:rPr>
            </w:pPr>
            <w:r w:rsidRPr="00F336DB">
              <w:rPr>
                <w:rFonts w:ascii="Arial" w:hAnsi="Arial" w:cs="Arial"/>
                <w:noProof/>
                <w:color w:val="BFBFBF" w:themeColor="background1" w:themeShade="BF"/>
                <w:sz w:val="20"/>
                <w:szCs w:val="20"/>
              </w:rPr>
              <w:drawing>
                <wp:inline distT="0" distB="0" distL="0" distR="0" wp14:anchorId="3C6D400A" wp14:editId="463E8CBC">
                  <wp:extent cx="409575" cy="447675"/>
                  <wp:effectExtent l="0" t="0" r="9525" b="9525"/>
                  <wp:docPr id="6" name="Slika 6"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F336DB" w:rsidRDefault="00EC7983" w:rsidP="00EC7983">
            <w:pPr>
              <w:pStyle w:val="Bezproreda"/>
              <w:jc w:val="center"/>
              <w:rPr>
                <w:rFonts w:ascii="Arial" w:hAnsi="Arial" w:cs="Arial"/>
                <w:b/>
                <w:color w:val="BFBFBF" w:themeColor="background1" w:themeShade="BF"/>
                <w:sz w:val="20"/>
                <w:szCs w:val="20"/>
              </w:rPr>
            </w:pPr>
          </w:p>
          <w:p w:rsidR="00EC7983" w:rsidRPr="00F336DB" w:rsidRDefault="00EC7983" w:rsidP="00EC7983">
            <w:pPr>
              <w:pStyle w:val="Bezproreda"/>
              <w:jc w:val="center"/>
              <w:rPr>
                <w:rFonts w:ascii="Arial" w:hAnsi="Arial" w:cs="Arial"/>
                <w:b/>
                <w:sz w:val="20"/>
                <w:szCs w:val="20"/>
              </w:rPr>
            </w:pPr>
            <w:r w:rsidRPr="00F336DB">
              <w:rPr>
                <w:rFonts w:ascii="Arial" w:hAnsi="Arial" w:cs="Arial"/>
                <w:b/>
                <w:sz w:val="20"/>
                <w:szCs w:val="20"/>
              </w:rPr>
              <w:t>REPUBLIKA HRVATSKA</w:t>
            </w:r>
          </w:p>
          <w:p w:rsidR="00EC7983" w:rsidRPr="00F336DB" w:rsidRDefault="00EC7983" w:rsidP="00EC7983">
            <w:pPr>
              <w:pStyle w:val="Bezproreda"/>
              <w:jc w:val="center"/>
              <w:rPr>
                <w:rFonts w:ascii="Arial" w:hAnsi="Arial" w:cs="Arial"/>
                <w:b/>
                <w:sz w:val="20"/>
                <w:szCs w:val="20"/>
              </w:rPr>
            </w:pPr>
            <w:r w:rsidRPr="00F336DB">
              <w:rPr>
                <w:rFonts w:ascii="Arial" w:hAnsi="Arial" w:cs="Arial"/>
                <w:b/>
                <w:sz w:val="20"/>
                <w:szCs w:val="20"/>
              </w:rPr>
              <w:t>ZADARSKA ŽUPANIJA</w:t>
            </w:r>
          </w:p>
          <w:p w:rsidR="00EC7983" w:rsidRPr="00F336DB" w:rsidRDefault="00EC7983" w:rsidP="00EC7983">
            <w:pPr>
              <w:pStyle w:val="Bezproreda"/>
              <w:jc w:val="center"/>
              <w:rPr>
                <w:rFonts w:ascii="Arial" w:hAnsi="Arial" w:cs="Arial"/>
                <w:b/>
                <w:sz w:val="20"/>
                <w:szCs w:val="20"/>
              </w:rPr>
            </w:pPr>
            <w:r w:rsidRPr="00F336DB">
              <w:rPr>
                <w:rFonts w:ascii="Arial" w:hAnsi="Arial" w:cs="Arial"/>
                <w:b/>
                <w:sz w:val="20"/>
                <w:szCs w:val="20"/>
              </w:rPr>
              <w:t>GRAD BIOGRAD NA MORU</w:t>
            </w:r>
          </w:p>
          <w:p w:rsidR="00EC7983" w:rsidRPr="00F336DB" w:rsidRDefault="00EC7983" w:rsidP="00EC7983">
            <w:pPr>
              <w:pStyle w:val="Bezproreda"/>
              <w:jc w:val="center"/>
              <w:rPr>
                <w:rFonts w:ascii="Arial" w:hAnsi="Arial" w:cs="Arial"/>
                <w:color w:val="BFBFBF" w:themeColor="background1" w:themeShade="BF"/>
                <w:sz w:val="20"/>
                <w:szCs w:val="20"/>
              </w:rPr>
            </w:pPr>
          </w:p>
        </w:tc>
      </w:tr>
    </w:tbl>
    <w:p w:rsidR="00EC7983" w:rsidRPr="00F336DB" w:rsidRDefault="00EC7983" w:rsidP="00EC7983">
      <w:pPr>
        <w:rPr>
          <w:rFonts w:ascii="Arial" w:hAnsi="Arial" w:cs="Arial"/>
          <w:sz w:val="20"/>
          <w:szCs w:val="20"/>
        </w:rPr>
      </w:pPr>
    </w:p>
    <w:p w:rsidR="00EC7983" w:rsidRPr="00F336DB" w:rsidRDefault="00EC7983" w:rsidP="00EC7983">
      <w:pPr>
        <w:rPr>
          <w:rFonts w:ascii="Arial" w:hAnsi="Arial" w:cs="Arial"/>
          <w:sz w:val="20"/>
          <w:szCs w:val="20"/>
        </w:rPr>
      </w:pPr>
    </w:p>
    <w:p w:rsidR="00EC7983" w:rsidRPr="00F336DB"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F336DB" w:rsidRDefault="00C13A86" w:rsidP="00EC7983">
      <w:pPr>
        <w:rPr>
          <w:rFonts w:ascii="Arial" w:hAnsi="Arial" w:cs="Arial"/>
          <w:sz w:val="20"/>
          <w:szCs w:val="20"/>
        </w:rPr>
      </w:pPr>
    </w:p>
    <w:p w:rsidR="00EC7983" w:rsidRPr="00F336DB" w:rsidRDefault="00EC7983" w:rsidP="00EC7983">
      <w:pPr>
        <w:rPr>
          <w:rFonts w:ascii="Arial" w:hAnsi="Arial" w:cs="Arial"/>
          <w:sz w:val="20"/>
          <w:szCs w:val="20"/>
        </w:rPr>
      </w:pPr>
    </w:p>
    <w:p w:rsidR="00EC7983" w:rsidRPr="00F336DB"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F336DB" w:rsidTr="00EC7983">
        <w:tc>
          <w:tcPr>
            <w:tcW w:w="2235" w:type="dxa"/>
            <w:vMerge w:val="restart"/>
            <w:vAlign w:val="center"/>
          </w:tcPr>
          <w:p w:rsidR="00EC7983" w:rsidRPr="00F336DB" w:rsidRDefault="00EC7983" w:rsidP="00EC7983">
            <w:pPr>
              <w:pStyle w:val="Bezproreda"/>
              <w:jc w:val="center"/>
              <w:rPr>
                <w:rFonts w:ascii="Arial" w:hAnsi="Arial" w:cs="Arial"/>
                <w:b/>
                <w:sz w:val="20"/>
                <w:szCs w:val="20"/>
              </w:rPr>
            </w:pPr>
            <w:r w:rsidRPr="00F336DB">
              <w:rPr>
                <w:rFonts w:ascii="Arial" w:hAnsi="Arial" w:cs="Arial"/>
                <w:b/>
                <w:sz w:val="20"/>
                <w:szCs w:val="20"/>
              </w:rPr>
              <w:t>Prilog: 4</w:t>
            </w:r>
          </w:p>
        </w:tc>
        <w:tc>
          <w:tcPr>
            <w:tcW w:w="7053" w:type="dxa"/>
          </w:tcPr>
          <w:p w:rsidR="00EC7983" w:rsidRPr="00F336DB" w:rsidRDefault="00EC7983" w:rsidP="00EC7983">
            <w:pPr>
              <w:pStyle w:val="Bezproreda"/>
              <w:rPr>
                <w:rFonts w:ascii="Arial" w:hAnsi="Arial" w:cs="Arial"/>
                <w:b/>
                <w:sz w:val="20"/>
                <w:szCs w:val="20"/>
              </w:rPr>
            </w:pPr>
          </w:p>
          <w:p w:rsidR="00EC7983" w:rsidRPr="00F336DB" w:rsidRDefault="00EC7983" w:rsidP="00EC7983">
            <w:pPr>
              <w:pStyle w:val="Bezproreda"/>
              <w:rPr>
                <w:rFonts w:ascii="Arial" w:hAnsi="Arial" w:cs="Arial"/>
                <w:b/>
                <w:sz w:val="20"/>
                <w:szCs w:val="20"/>
              </w:rPr>
            </w:pPr>
            <w:r w:rsidRPr="00F336DB">
              <w:rPr>
                <w:rFonts w:ascii="Arial" w:hAnsi="Arial" w:cs="Arial"/>
                <w:b/>
                <w:sz w:val="20"/>
                <w:szCs w:val="20"/>
              </w:rPr>
              <w:t>GODIŠNJI IZVJEŠTAJ O IZVRŠENJU PRORAČUNA GRADA BIOGRADA NA MORU ZA 2022. GODINU</w:t>
            </w:r>
          </w:p>
          <w:p w:rsidR="00EC7983" w:rsidRPr="00F336DB" w:rsidRDefault="00EC7983" w:rsidP="00EC7983">
            <w:pPr>
              <w:pStyle w:val="Bezproreda"/>
              <w:rPr>
                <w:rFonts w:ascii="Arial" w:hAnsi="Arial" w:cs="Arial"/>
                <w:b/>
                <w:sz w:val="20"/>
                <w:szCs w:val="20"/>
              </w:rPr>
            </w:pPr>
          </w:p>
        </w:tc>
      </w:tr>
      <w:tr w:rsidR="00EC7983" w:rsidRPr="00F336DB" w:rsidTr="00C13A86">
        <w:tc>
          <w:tcPr>
            <w:tcW w:w="2235" w:type="dxa"/>
            <w:vMerge/>
            <w:tcBorders>
              <w:bottom w:val="single" w:sz="4" w:space="0" w:color="auto"/>
            </w:tcBorders>
          </w:tcPr>
          <w:p w:rsidR="00EC7983" w:rsidRPr="00F336DB" w:rsidRDefault="00EC7983" w:rsidP="00EC7983">
            <w:pPr>
              <w:pStyle w:val="Bezproreda"/>
              <w:rPr>
                <w:rFonts w:ascii="Arial" w:hAnsi="Arial" w:cs="Arial"/>
                <w:sz w:val="20"/>
                <w:szCs w:val="20"/>
              </w:rPr>
            </w:pPr>
          </w:p>
        </w:tc>
        <w:tc>
          <w:tcPr>
            <w:tcW w:w="7053" w:type="dxa"/>
            <w:tcBorders>
              <w:bottom w:val="single" w:sz="4" w:space="0" w:color="auto"/>
            </w:tcBorders>
          </w:tcPr>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b/>
                <w:sz w:val="20"/>
                <w:szCs w:val="20"/>
              </w:rPr>
            </w:pPr>
            <w:r w:rsidRPr="00F336DB">
              <w:rPr>
                <w:rFonts w:ascii="Arial" w:hAnsi="Arial" w:cs="Arial"/>
                <w:b/>
                <w:sz w:val="20"/>
                <w:szCs w:val="20"/>
              </w:rPr>
              <w:t>Opći dio proračuna: Rashodi prema funkcijskoj klasifikaciji</w:t>
            </w:r>
          </w:p>
          <w:p w:rsidR="00EC7983" w:rsidRPr="00F336DB" w:rsidRDefault="00EC7983" w:rsidP="00EC7983">
            <w:pPr>
              <w:pStyle w:val="Bezproreda"/>
              <w:rPr>
                <w:rFonts w:ascii="Arial" w:hAnsi="Arial" w:cs="Arial"/>
                <w:sz w:val="20"/>
                <w:szCs w:val="20"/>
              </w:rPr>
            </w:pPr>
          </w:p>
        </w:tc>
      </w:tr>
    </w:tbl>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73"/>
        <w:gridCol w:w="2905"/>
        <w:gridCol w:w="3683"/>
      </w:tblGrid>
      <w:tr w:rsidR="00EC7983" w:rsidRPr="00F336DB" w:rsidTr="00EC7983">
        <w:tc>
          <w:tcPr>
            <w:tcW w:w="2518" w:type="dxa"/>
          </w:tcPr>
          <w:p w:rsidR="00EC7983" w:rsidRPr="00F336DB" w:rsidRDefault="00EC7983" w:rsidP="00EC7983">
            <w:pPr>
              <w:pStyle w:val="Bezproreda"/>
              <w:rPr>
                <w:rFonts w:ascii="Arial" w:hAnsi="Arial" w:cs="Arial"/>
                <w:sz w:val="20"/>
                <w:szCs w:val="20"/>
              </w:rPr>
            </w:pPr>
          </w:p>
          <w:p w:rsidR="00EC7983" w:rsidRPr="00F336DB" w:rsidRDefault="00EC7983" w:rsidP="00EC7983">
            <w:pPr>
              <w:pStyle w:val="Bezproreda"/>
              <w:jc w:val="center"/>
              <w:rPr>
                <w:rFonts w:ascii="Arial" w:hAnsi="Arial" w:cs="Arial"/>
                <w:sz w:val="20"/>
                <w:szCs w:val="20"/>
              </w:rPr>
            </w:pPr>
            <w:r w:rsidRPr="00F336DB">
              <w:rPr>
                <w:rFonts w:ascii="Arial" w:hAnsi="Arial" w:cs="Arial"/>
                <w:sz w:val="20"/>
                <w:szCs w:val="20"/>
              </w:rPr>
              <w:t>KLASA:400-01/23-01/01</w:t>
            </w:r>
          </w:p>
          <w:p w:rsidR="00EC7983" w:rsidRPr="00F336DB" w:rsidRDefault="00EC7983" w:rsidP="00EC7983">
            <w:pPr>
              <w:pStyle w:val="Bezproreda"/>
              <w:rPr>
                <w:rFonts w:ascii="Arial" w:hAnsi="Arial" w:cs="Arial"/>
                <w:sz w:val="20"/>
                <w:szCs w:val="20"/>
              </w:rPr>
            </w:pPr>
          </w:p>
        </w:tc>
        <w:tc>
          <w:tcPr>
            <w:tcW w:w="2977" w:type="dxa"/>
          </w:tcPr>
          <w:p w:rsidR="00EC7983" w:rsidRPr="00F336DB" w:rsidRDefault="00EC7983" w:rsidP="00EC7983">
            <w:pPr>
              <w:pStyle w:val="Bezproreda"/>
              <w:jc w:val="center"/>
              <w:rPr>
                <w:rFonts w:ascii="Arial" w:hAnsi="Arial" w:cs="Arial"/>
                <w:sz w:val="20"/>
                <w:szCs w:val="20"/>
              </w:rPr>
            </w:pPr>
          </w:p>
          <w:p w:rsidR="00EC7983" w:rsidRPr="00F336DB" w:rsidRDefault="00EC7983" w:rsidP="00EC7983">
            <w:pPr>
              <w:pStyle w:val="Bezproreda"/>
              <w:jc w:val="center"/>
              <w:rPr>
                <w:rFonts w:ascii="Arial" w:hAnsi="Arial" w:cs="Arial"/>
                <w:sz w:val="20"/>
                <w:szCs w:val="20"/>
              </w:rPr>
            </w:pPr>
            <w:r w:rsidRPr="00F336DB">
              <w:rPr>
                <w:rFonts w:ascii="Arial" w:hAnsi="Arial" w:cs="Arial"/>
                <w:sz w:val="20"/>
                <w:szCs w:val="20"/>
              </w:rPr>
              <w:t>URBROJ: 2198-16-01-23-2</w:t>
            </w:r>
          </w:p>
        </w:tc>
        <w:tc>
          <w:tcPr>
            <w:tcW w:w="3793" w:type="dxa"/>
          </w:tcPr>
          <w:p w:rsidR="00EC7983" w:rsidRPr="00F336DB" w:rsidRDefault="00EC7983" w:rsidP="00EC7983">
            <w:pPr>
              <w:pStyle w:val="Bezproreda"/>
              <w:jc w:val="center"/>
              <w:rPr>
                <w:rFonts w:ascii="Arial" w:hAnsi="Arial" w:cs="Arial"/>
                <w:sz w:val="20"/>
                <w:szCs w:val="20"/>
                <w:highlight w:val="yellow"/>
              </w:rPr>
            </w:pPr>
          </w:p>
          <w:p w:rsidR="00EC7983" w:rsidRPr="00F336DB" w:rsidRDefault="00EC7983" w:rsidP="00EC7983">
            <w:pPr>
              <w:pStyle w:val="Bezproreda"/>
              <w:jc w:val="center"/>
              <w:rPr>
                <w:rFonts w:ascii="Arial" w:hAnsi="Arial" w:cs="Arial"/>
                <w:sz w:val="20"/>
                <w:szCs w:val="20"/>
                <w:highlight w:val="yellow"/>
              </w:rPr>
            </w:pPr>
            <w:r w:rsidRPr="00F336DB">
              <w:rPr>
                <w:rFonts w:ascii="Arial" w:hAnsi="Arial" w:cs="Arial"/>
                <w:sz w:val="20"/>
                <w:szCs w:val="20"/>
              </w:rPr>
              <w:t>Biograd na Moru, 18. travnja 2023.</w:t>
            </w:r>
          </w:p>
        </w:tc>
      </w:tr>
    </w:tbl>
    <w:p w:rsidR="00EC7983" w:rsidRPr="00F336DB" w:rsidRDefault="00EC7983" w:rsidP="00EC7983">
      <w:pPr>
        <w:pStyle w:val="Bezproreda"/>
        <w:rPr>
          <w:rFonts w:ascii="Arial" w:hAnsi="Arial" w:cs="Arial"/>
          <w:sz w:val="20"/>
          <w:szCs w:val="20"/>
        </w:rPr>
      </w:pPr>
    </w:p>
    <w:p w:rsidR="000A6DC7" w:rsidRDefault="000A6DC7" w:rsidP="009E64C9">
      <w:pPr>
        <w:jc w:val="center"/>
        <w:rPr>
          <w:rFonts w:ascii="Arial" w:hAnsi="Arial" w:cs="Arial"/>
          <w:sz w:val="22"/>
          <w:szCs w:val="22"/>
          <w:lang w:eastAsia="hr-HR"/>
        </w:rPr>
      </w:pPr>
    </w:p>
    <w:p w:rsidR="00C13A86" w:rsidRDefault="00C13A86" w:rsidP="009E64C9">
      <w:pPr>
        <w:jc w:val="center"/>
        <w:rPr>
          <w:rFonts w:ascii="Arial" w:hAnsi="Arial" w:cs="Arial"/>
          <w:sz w:val="22"/>
          <w:szCs w:val="22"/>
          <w:lang w:eastAsia="hr-HR"/>
        </w:rPr>
      </w:pPr>
    </w:p>
    <w:tbl>
      <w:tblPr>
        <w:tblW w:w="10632" w:type="dxa"/>
        <w:jc w:val="center"/>
        <w:tblLook w:val="04A0" w:firstRow="1" w:lastRow="0" w:firstColumn="1" w:lastColumn="0" w:noHBand="0" w:noVBand="1"/>
      </w:tblPr>
      <w:tblGrid>
        <w:gridCol w:w="4111"/>
        <w:gridCol w:w="1496"/>
        <w:gridCol w:w="1623"/>
        <w:gridCol w:w="1496"/>
        <w:gridCol w:w="1006"/>
        <w:gridCol w:w="1006"/>
      </w:tblGrid>
      <w:tr w:rsidR="00C13A86" w:rsidTr="00C13A86">
        <w:trPr>
          <w:trHeight w:val="348"/>
          <w:jc w:val="center"/>
        </w:trPr>
        <w:tc>
          <w:tcPr>
            <w:tcW w:w="10632"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b/>
                <w:bCs/>
                <w:lang w:eastAsia="hr-HR"/>
              </w:rPr>
            </w:pPr>
            <w:r>
              <w:rPr>
                <w:rFonts w:ascii="Arial" w:hAnsi="Arial" w:cs="Arial"/>
                <w:b/>
                <w:bCs/>
              </w:rPr>
              <w:lastRenderedPageBreak/>
              <w:t>Rashodi prema funkcijskoj klasifikaciji</w:t>
            </w:r>
          </w:p>
        </w:tc>
      </w:tr>
      <w:tr w:rsidR="00C13A86" w:rsidTr="00C13A86">
        <w:trPr>
          <w:trHeight w:val="264"/>
          <w:jc w:val="center"/>
        </w:trPr>
        <w:tc>
          <w:tcPr>
            <w:tcW w:w="10632"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r>
              <w:rPr>
                <w:rFonts w:ascii="Arial" w:hAnsi="Arial" w:cs="Arial"/>
                <w:sz w:val="20"/>
                <w:szCs w:val="20"/>
              </w:rPr>
              <w:t>Za razdoblje od 01.01.2022. do 31.12.2022.</w:t>
            </w:r>
          </w:p>
        </w:tc>
      </w:tr>
      <w:tr w:rsidR="00C13A86" w:rsidTr="00C13A86">
        <w:trPr>
          <w:trHeight w:val="264"/>
          <w:jc w:val="center"/>
        </w:trPr>
        <w:tc>
          <w:tcPr>
            <w:tcW w:w="10632"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p>
        </w:tc>
      </w:tr>
      <w:tr w:rsidR="00C13A86" w:rsidTr="00C13A86">
        <w:trPr>
          <w:trHeight w:val="264"/>
          <w:jc w:val="center"/>
        </w:trPr>
        <w:tc>
          <w:tcPr>
            <w:tcW w:w="4111"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Račun/Opis</w:t>
            </w:r>
          </w:p>
        </w:tc>
        <w:tc>
          <w:tcPr>
            <w:tcW w:w="1496"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2021</w:t>
            </w:r>
          </w:p>
        </w:tc>
        <w:tc>
          <w:tcPr>
            <w:tcW w:w="1623"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Izvorni plan 2022</w:t>
            </w:r>
          </w:p>
        </w:tc>
        <w:tc>
          <w:tcPr>
            <w:tcW w:w="1496"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2022</w:t>
            </w:r>
          </w:p>
        </w:tc>
        <w:tc>
          <w:tcPr>
            <w:tcW w:w="1006"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3/1</w:t>
            </w:r>
          </w:p>
        </w:tc>
        <w:tc>
          <w:tcPr>
            <w:tcW w:w="900"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3/2</w:t>
            </w:r>
          </w:p>
        </w:tc>
      </w:tr>
      <w:tr w:rsidR="00C13A86" w:rsidTr="00C13A86">
        <w:trPr>
          <w:trHeight w:val="264"/>
          <w:jc w:val="center"/>
        </w:trPr>
        <w:tc>
          <w:tcPr>
            <w:tcW w:w="4111"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 </w:t>
            </w:r>
          </w:p>
        </w:tc>
        <w:tc>
          <w:tcPr>
            <w:tcW w:w="1496"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1</w:t>
            </w:r>
          </w:p>
        </w:tc>
        <w:tc>
          <w:tcPr>
            <w:tcW w:w="1623"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2</w:t>
            </w:r>
          </w:p>
        </w:tc>
        <w:tc>
          <w:tcPr>
            <w:tcW w:w="1496"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3</w:t>
            </w:r>
          </w:p>
        </w:tc>
        <w:tc>
          <w:tcPr>
            <w:tcW w:w="1006"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4</w:t>
            </w:r>
          </w:p>
        </w:tc>
        <w:tc>
          <w:tcPr>
            <w:tcW w:w="900" w:type="dxa"/>
            <w:tcBorders>
              <w:top w:val="nil"/>
              <w:left w:val="nil"/>
              <w:bottom w:val="nil"/>
              <w:right w:val="nil"/>
            </w:tcBorders>
            <w:shd w:val="clear" w:color="000000" w:fill="969696"/>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5</w:t>
            </w:r>
          </w:p>
        </w:tc>
      </w:tr>
      <w:tr w:rsidR="00C13A86" w:rsidTr="00C13A86">
        <w:trPr>
          <w:trHeight w:val="264"/>
          <w:jc w:val="center"/>
        </w:trPr>
        <w:tc>
          <w:tcPr>
            <w:tcW w:w="4111" w:type="dxa"/>
            <w:tcBorders>
              <w:top w:val="nil"/>
              <w:left w:val="nil"/>
              <w:bottom w:val="nil"/>
              <w:right w:val="nil"/>
            </w:tcBorders>
            <w:shd w:val="clear" w:color="000000" w:fill="C0C0C0"/>
            <w:noWrap/>
            <w:vAlign w:val="bottom"/>
            <w:hideMark/>
          </w:tcPr>
          <w:p w:rsidR="00C13A86" w:rsidRDefault="00C13A86">
            <w:pPr>
              <w:rPr>
                <w:rFonts w:ascii="Arial" w:hAnsi="Arial" w:cs="Arial"/>
                <w:b/>
                <w:bCs/>
                <w:sz w:val="20"/>
                <w:szCs w:val="20"/>
              </w:rPr>
            </w:pPr>
            <w:r>
              <w:rPr>
                <w:rFonts w:ascii="Arial" w:hAnsi="Arial" w:cs="Arial"/>
                <w:b/>
                <w:bCs/>
                <w:sz w:val="20"/>
                <w:szCs w:val="20"/>
              </w:rPr>
              <w:t>Funkcijska klasifikacija  SVEUKUPNI RASHODI</w:t>
            </w:r>
          </w:p>
        </w:tc>
        <w:tc>
          <w:tcPr>
            <w:tcW w:w="1496" w:type="dxa"/>
            <w:tcBorders>
              <w:top w:val="nil"/>
              <w:left w:val="nil"/>
              <w:bottom w:val="nil"/>
              <w:right w:val="nil"/>
            </w:tcBorders>
            <w:shd w:val="clear" w:color="000000" w:fill="C0C0C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61.648.786,00</w:t>
            </w:r>
          </w:p>
        </w:tc>
        <w:tc>
          <w:tcPr>
            <w:tcW w:w="1623" w:type="dxa"/>
            <w:tcBorders>
              <w:top w:val="nil"/>
              <w:left w:val="nil"/>
              <w:bottom w:val="nil"/>
              <w:right w:val="nil"/>
            </w:tcBorders>
            <w:shd w:val="clear" w:color="000000" w:fill="C0C0C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82.644.628,00</w:t>
            </w:r>
          </w:p>
        </w:tc>
        <w:tc>
          <w:tcPr>
            <w:tcW w:w="1496" w:type="dxa"/>
            <w:tcBorders>
              <w:top w:val="nil"/>
              <w:left w:val="nil"/>
              <w:bottom w:val="nil"/>
              <w:right w:val="nil"/>
            </w:tcBorders>
            <w:shd w:val="clear" w:color="000000" w:fill="C0C0C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59.211.950,44</w:t>
            </w:r>
          </w:p>
        </w:tc>
        <w:tc>
          <w:tcPr>
            <w:tcW w:w="1006" w:type="dxa"/>
            <w:tcBorders>
              <w:top w:val="nil"/>
              <w:left w:val="nil"/>
              <w:bottom w:val="nil"/>
              <w:right w:val="nil"/>
            </w:tcBorders>
            <w:shd w:val="clear" w:color="000000" w:fill="C0C0C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96,05%</w:t>
            </w:r>
          </w:p>
        </w:tc>
        <w:tc>
          <w:tcPr>
            <w:tcW w:w="900" w:type="dxa"/>
            <w:tcBorders>
              <w:top w:val="nil"/>
              <w:left w:val="nil"/>
              <w:bottom w:val="nil"/>
              <w:right w:val="nil"/>
            </w:tcBorders>
            <w:shd w:val="clear" w:color="000000" w:fill="C0C0C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71,65%</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01 Opće javne usluge</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32.866.926,50</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45.097.400,00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28.640.391,98</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87,14%</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63,51%</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010 Opće javne usluge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1.921.344,00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4.605.000,00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3.241.041,09</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168,69%</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70,38%</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011 "Izvršna  i zakonodavna tijela, financijski i fiskalni poslovi, vanjski poslovi"</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30.945.582,50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40.492.400,00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25.399.350,89</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82,08%</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62,73%</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03 Javni red i sigurnost</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4.314.384,60</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4.669.000,00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4.472.917,00</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103,67%</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95,80%</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032 Usluge protupožarne zaštite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4.307.227,87</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4.659.000,00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4.471.997,50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103,83%</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95,99%</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036 Rashodi za javni red i sigurnost koji nisu drugdje svrstani</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7.156,73</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919,50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12,85%</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9,20%</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04 Ekonomski poslovi</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3.085.462,75</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5.180.000,00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2.992.419,55</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96,98%</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57,77%</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043 Gorivo i energija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044 "Rudarstvo, proizvodnja i građevinarstvo"</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254.304,79</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045 Promet</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1.949.013,48</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3.830.000,00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2.077.642,65</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106,60%</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54,25%</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047 Ostale industrije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125.000,00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125.000,00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100,00%</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62,50%</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049 Ekonomski poslovi koji nisu drugdje svrstani</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757.144,48</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1.120.000,00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789.776,90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104,31%</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70,52%</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05 Zaštita okoliša</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3.660.867,27</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5.112.200,00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3.900.186,08</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106,54%</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76,29%</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051 Gospodarenje otpadom</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1.626.521,95</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2.002.200,00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1.850.606,95</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113,78%</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92,43%</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052 Gospodarenje otpadnim vodama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454.053,06</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500.000,00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374.854,75</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82,56%</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74,97%</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053 Smanjenje zagađivanja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910.000,00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199.387,50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21,91%</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056 Poslovi i usluge zaštite okoliša koji nisu drugdje svrstani</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1.580.292,26</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1.700.000,00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1.475.336,88</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93,36%</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86,78%</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06 Usluge unapređenja stanovanja i zajednice</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6.049.261,33</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5.430.000,00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5.378.670,46</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88,91%</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99,05%</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061 Razvoj stanovanja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4.594.006,63</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1.900.000,00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2.046.787,15</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44,55%</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107,73%</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062 Razvoj zajednice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620.000,00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785.577,22</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126,71%</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063 Opskrba vodom</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468.696,69</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660.000,00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571.832,99</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122,00%</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86,64%</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064 Ulična rasvjeta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986.558,01</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2.250.000,00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1.974.473,10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200,14%</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87,75%</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07 Zdravstvo</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136.803,05</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142.000,00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114.403,05</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83,63%</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80,57%</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071 "Medicinski proizvodi, pribor i oprema"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072 Službe za vanjske pacijente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lastRenderedPageBreak/>
              <w:t>Funkcijska klasifikacija 074 Službe javnog zdravstva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128.803,05</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109.403,05</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84,94%</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109,40%</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075 Istraživanje i razvoj zdravstva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8.000,00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5.000,00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62,50%</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50,00%</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08 Rekreacija, kultura i religija</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3.315.533,31</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5.622.008,00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4.256.359,30</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128,38%</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75,71%</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081 Službe rekreacije i sporta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1.200.000,00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1.630.000,00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1.549.898,99</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129,16%</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95,09%</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082 Službe kulture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2.115.533,31</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3.842.008,00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2.666.460,31</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126,04%</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69,40%</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086 "Rashodi za rekreaciju, kulturu i religiju koji nisu drugdje svrstani"</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150.000,00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40.000,00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 </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26,67%</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09 Obrazovanje</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7.073.491,53</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8.892.020,00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7.427.426,96</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105,00%</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83,53%</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091 Predškolsko i osnovno obrazovanje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6.202.691,53</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6.892.020,00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6.539.626,96</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105,43%</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94,89%</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094 Visoka naobrazba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870.800,00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2.000.000,00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887.800,00</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101,95%</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44,39%</w:t>
            </w:r>
          </w:p>
        </w:tc>
      </w:tr>
      <w:tr w:rsidR="00C13A86" w:rsidTr="00C13A86">
        <w:trPr>
          <w:trHeight w:val="264"/>
          <w:jc w:val="center"/>
        </w:trPr>
        <w:tc>
          <w:tcPr>
            <w:tcW w:w="4111" w:type="dxa"/>
            <w:tcBorders>
              <w:top w:val="nil"/>
              <w:left w:val="nil"/>
              <w:bottom w:val="nil"/>
              <w:right w:val="nil"/>
            </w:tcBorders>
            <w:shd w:val="clear" w:color="000000" w:fill="99CCFF"/>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10 Socijalna zaštita</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1.146.055,66</w:t>
            </w:r>
          </w:p>
        </w:tc>
        <w:tc>
          <w:tcPr>
            <w:tcW w:w="1623"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2.500.000,00</w:t>
            </w:r>
          </w:p>
        </w:tc>
        <w:tc>
          <w:tcPr>
            <w:tcW w:w="149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2.029.176,06</w:t>
            </w:r>
          </w:p>
        </w:tc>
        <w:tc>
          <w:tcPr>
            <w:tcW w:w="1006"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177,06%</w:t>
            </w:r>
          </w:p>
        </w:tc>
        <w:tc>
          <w:tcPr>
            <w:tcW w:w="900" w:type="dxa"/>
            <w:tcBorders>
              <w:top w:val="nil"/>
              <w:left w:val="nil"/>
              <w:bottom w:val="nil"/>
              <w:right w:val="nil"/>
            </w:tcBorders>
            <w:shd w:val="clear" w:color="000000" w:fill="99CCFF"/>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81,17%</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107 Socijalna pomoć stanovništvu koje nije obuhvaćeno redovnim socijalnim programima</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769.055,66</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1.610.000,00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1.352.941,62</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175,92%</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84,03%</w:t>
            </w:r>
          </w:p>
        </w:tc>
      </w:tr>
      <w:tr w:rsidR="00C13A86" w:rsidTr="00C13A86">
        <w:trPr>
          <w:trHeight w:val="264"/>
          <w:jc w:val="center"/>
        </w:trPr>
        <w:tc>
          <w:tcPr>
            <w:tcW w:w="4111" w:type="dxa"/>
            <w:tcBorders>
              <w:top w:val="nil"/>
              <w:left w:val="nil"/>
              <w:bottom w:val="nil"/>
              <w:right w:val="nil"/>
            </w:tcBorders>
            <w:shd w:val="clear" w:color="000000" w:fill="33CCCC"/>
            <w:noWrap/>
            <w:vAlign w:val="bottom"/>
            <w:hideMark/>
          </w:tcPr>
          <w:p w:rsidR="00C13A86" w:rsidRDefault="00C13A86">
            <w:pPr>
              <w:rPr>
                <w:rFonts w:ascii="Arial" w:hAnsi="Arial" w:cs="Arial"/>
                <w:b/>
                <w:bCs/>
                <w:color w:val="000000"/>
                <w:sz w:val="20"/>
                <w:szCs w:val="20"/>
              </w:rPr>
            </w:pPr>
            <w:r>
              <w:rPr>
                <w:rFonts w:ascii="Arial" w:hAnsi="Arial" w:cs="Arial"/>
                <w:b/>
                <w:bCs/>
                <w:color w:val="000000"/>
                <w:sz w:val="20"/>
                <w:szCs w:val="20"/>
              </w:rPr>
              <w:t>Funkcijska klasifikacija 109 Aktivnosti socijalne zaštite koje nisu drugdje svrstane</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377.000,00</w:t>
            </w:r>
          </w:p>
        </w:tc>
        <w:tc>
          <w:tcPr>
            <w:tcW w:w="1623"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890.000,00</w:t>
            </w:r>
          </w:p>
        </w:tc>
        <w:tc>
          <w:tcPr>
            <w:tcW w:w="149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676.234,44</w:t>
            </w:r>
          </w:p>
        </w:tc>
        <w:tc>
          <w:tcPr>
            <w:tcW w:w="1006"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179,37%</w:t>
            </w:r>
          </w:p>
        </w:tc>
        <w:tc>
          <w:tcPr>
            <w:tcW w:w="900" w:type="dxa"/>
            <w:tcBorders>
              <w:top w:val="nil"/>
              <w:left w:val="nil"/>
              <w:bottom w:val="nil"/>
              <w:right w:val="nil"/>
            </w:tcBorders>
            <w:shd w:val="clear" w:color="000000" w:fill="33CCCC"/>
            <w:noWrap/>
            <w:vAlign w:val="bottom"/>
            <w:hideMark/>
          </w:tcPr>
          <w:p w:rsidR="00C13A86" w:rsidRDefault="00C13A86">
            <w:pPr>
              <w:jc w:val="right"/>
              <w:rPr>
                <w:rFonts w:ascii="Arial" w:hAnsi="Arial" w:cs="Arial"/>
                <w:b/>
                <w:bCs/>
                <w:color w:val="000000"/>
                <w:sz w:val="20"/>
                <w:szCs w:val="20"/>
              </w:rPr>
            </w:pPr>
            <w:r>
              <w:rPr>
                <w:rFonts w:ascii="Arial" w:hAnsi="Arial" w:cs="Arial"/>
                <w:b/>
                <w:bCs/>
                <w:color w:val="000000"/>
                <w:sz w:val="20"/>
                <w:szCs w:val="20"/>
              </w:rPr>
              <w:t>75,98%</w:t>
            </w:r>
          </w:p>
        </w:tc>
      </w:tr>
    </w:tbl>
    <w:p w:rsidR="00C13A86" w:rsidRDefault="00C13A86" w:rsidP="009E64C9">
      <w:pPr>
        <w:jc w:val="center"/>
        <w:rPr>
          <w:rFonts w:ascii="Arial" w:hAnsi="Arial" w:cs="Arial"/>
          <w:sz w:val="22"/>
          <w:szCs w:val="22"/>
          <w:lang w:eastAsia="hr-HR"/>
        </w:rPr>
      </w:pPr>
    </w:p>
    <w:p w:rsidR="000A6DC7" w:rsidRDefault="000A6DC7" w:rsidP="000A6DC7">
      <w:pPr>
        <w:jc w:val="center"/>
        <w:rPr>
          <w:rFonts w:ascii="Arial" w:hAnsi="Arial" w:cs="Arial"/>
        </w:rPr>
      </w:pPr>
      <w:r>
        <w:rPr>
          <w:rFonts w:ascii="Arial" w:hAnsi="Arial" w:cs="Arial"/>
        </w:rPr>
        <w:t>***</w:t>
      </w: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p w:rsidR="00C13A86" w:rsidRDefault="00C13A86" w:rsidP="000A6DC7">
      <w:pPr>
        <w:jc w:val="center"/>
        <w:rPr>
          <w:rFonts w:ascii="Arial" w:hAnsi="Arial" w:cs="Arial"/>
        </w:rPr>
      </w:pPr>
    </w:p>
    <w:tbl>
      <w:tblPr>
        <w:tblStyle w:val="Reetkatablice"/>
        <w:tblW w:w="0" w:type="auto"/>
        <w:tblInd w:w="0" w:type="dxa"/>
        <w:tblLook w:val="04A0" w:firstRow="1" w:lastRow="0" w:firstColumn="1" w:lastColumn="0" w:noHBand="0" w:noVBand="1"/>
      </w:tblPr>
      <w:tblGrid>
        <w:gridCol w:w="1505"/>
        <w:gridCol w:w="7556"/>
      </w:tblGrid>
      <w:tr w:rsidR="00C13A86" w:rsidRPr="004D5A28" w:rsidTr="00C13A86">
        <w:tc>
          <w:tcPr>
            <w:tcW w:w="1526" w:type="dxa"/>
          </w:tcPr>
          <w:p w:rsidR="00C13A86" w:rsidRPr="004D5A28" w:rsidRDefault="00C13A86" w:rsidP="00C13A86">
            <w:pPr>
              <w:pStyle w:val="Bezproreda"/>
              <w:jc w:val="center"/>
              <w:rPr>
                <w:rFonts w:ascii="Arial" w:hAnsi="Arial" w:cs="Arial"/>
                <w:noProof/>
                <w:color w:val="BFBFBF" w:themeColor="background1" w:themeShade="BF"/>
                <w:sz w:val="20"/>
                <w:szCs w:val="20"/>
                <w:lang w:eastAsia="hr-HR"/>
              </w:rPr>
            </w:pPr>
          </w:p>
          <w:p w:rsidR="00C13A86" w:rsidRPr="004D5A28" w:rsidRDefault="00C13A86" w:rsidP="00C13A86">
            <w:pPr>
              <w:pStyle w:val="Bezproreda"/>
              <w:jc w:val="center"/>
              <w:rPr>
                <w:rFonts w:ascii="Arial" w:hAnsi="Arial" w:cs="Arial"/>
                <w:color w:val="BFBFBF" w:themeColor="background1" w:themeShade="BF"/>
                <w:sz w:val="20"/>
                <w:szCs w:val="20"/>
              </w:rPr>
            </w:pPr>
            <w:r w:rsidRPr="004D5A28">
              <w:rPr>
                <w:rFonts w:ascii="Arial" w:hAnsi="Arial" w:cs="Arial"/>
                <w:noProof/>
                <w:color w:val="BFBFBF" w:themeColor="background1" w:themeShade="BF"/>
                <w:sz w:val="20"/>
                <w:szCs w:val="20"/>
              </w:rPr>
              <w:drawing>
                <wp:inline distT="0" distB="0" distL="0" distR="0" wp14:anchorId="20792E52" wp14:editId="63F2D61B">
                  <wp:extent cx="409575" cy="447675"/>
                  <wp:effectExtent l="0" t="0" r="9525" b="9525"/>
                  <wp:docPr id="17" name="Slika 17"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C13A86" w:rsidRPr="004D5A28" w:rsidRDefault="00C13A86" w:rsidP="00C13A86">
            <w:pPr>
              <w:pStyle w:val="Bezproreda"/>
              <w:jc w:val="center"/>
              <w:rPr>
                <w:rFonts w:ascii="Arial" w:hAnsi="Arial" w:cs="Arial"/>
                <w:b/>
                <w:color w:val="BFBFBF" w:themeColor="background1" w:themeShade="BF"/>
                <w:sz w:val="20"/>
                <w:szCs w:val="20"/>
              </w:rPr>
            </w:pP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REPUBLIKA HRVATSKA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ZADARSKA ŽUPANIJA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GRAD BIOGRAD NA MORU</w:t>
            </w:r>
          </w:p>
          <w:p w:rsidR="00C13A86" w:rsidRPr="004D5A28" w:rsidRDefault="00C13A86" w:rsidP="00C13A86">
            <w:pPr>
              <w:pStyle w:val="Bezproreda"/>
              <w:jc w:val="center"/>
              <w:rPr>
                <w:rFonts w:ascii="Arial" w:hAnsi="Arial" w:cs="Arial"/>
                <w:color w:val="BFBFBF" w:themeColor="background1" w:themeShade="BF"/>
                <w:sz w:val="20"/>
                <w:szCs w:val="20"/>
              </w:rPr>
            </w:pPr>
          </w:p>
        </w:tc>
      </w:tr>
    </w:tbl>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Default="00C13A86" w:rsidP="000A6DC7">
      <w:pPr>
        <w:jc w:val="center"/>
        <w:rPr>
          <w:rFonts w:ascii="Arial" w:eastAsia="Calibri" w:hAnsi="Arial" w:cs="Arial"/>
          <w:szCs w:val="32"/>
        </w:rPr>
      </w:pPr>
    </w:p>
    <w:p w:rsidR="00C13A86" w:rsidRPr="002B6238" w:rsidRDefault="00C13A86" w:rsidP="000A6DC7">
      <w:pPr>
        <w:jc w:val="center"/>
        <w:rPr>
          <w:rFonts w:ascii="Arial" w:eastAsia="Calibri" w:hAnsi="Arial" w:cs="Arial"/>
          <w:szCs w:val="32"/>
        </w:rPr>
      </w:pPr>
    </w:p>
    <w:p w:rsidR="00EC7983" w:rsidRPr="002A04AE" w:rsidRDefault="00EC7983" w:rsidP="00EC7983">
      <w:pPr>
        <w:rPr>
          <w:rFonts w:ascii="Arial" w:hAnsi="Arial" w:cs="Arial"/>
          <w:sz w:val="20"/>
          <w:szCs w:val="20"/>
        </w:rPr>
      </w:pPr>
    </w:p>
    <w:p w:rsidR="00EC7983" w:rsidRPr="002A04AE" w:rsidRDefault="00EC7983" w:rsidP="00EC7983">
      <w:pPr>
        <w:rPr>
          <w:rFonts w:ascii="Arial" w:hAnsi="Arial" w:cs="Arial"/>
          <w:sz w:val="20"/>
          <w:szCs w:val="20"/>
        </w:rPr>
      </w:pPr>
    </w:p>
    <w:p w:rsidR="00EC7983" w:rsidRPr="002A04AE" w:rsidRDefault="00EC7983" w:rsidP="00EC7983">
      <w:pPr>
        <w:rPr>
          <w:rFonts w:ascii="Arial" w:hAnsi="Arial" w:cs="Arial"/>
          <w:sz w:val="20"/>
          <w:szCs w:val="20"/>
        </w:rPr>
      </w:pPr>
    </w:p>
    <w:p w:rsidR="00EC7983" w:rsidRPr="002A04AE" w:rsidRDefault="00EC7983" w:rsidP="00EC7983">
      <w:pPr>
        <w:rPr>
          <w:rFonts w:ascii="Arial" w:hAnsi="Arial" w:cs="Arial"/>
          <w:sz w:val="20"/>
          <w:szCs w:val="20"/>
        </w:rPr>
      </w:pPr>
    </w:p>
    <w:p w:rsidR="00EC7983" w:rsidRPr="002A04AE" w:rsidRDefault="00EC7983" w:rsidP="00EC7983">
      <w:pPr>
        <w:rPr>
          <w:rFonts w:ascii="Arial" w:hAnsi="Arial" w:cs="Arial"/>
          <w:sz w:val="20"/>
          <w:szCs w:val="20"/>
        </w:rPr>
      </w:pPr>
    </w:p>
    <w:p w:rsidR="00EC7983" w:rsidRPr="002A04AE"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2A04AE"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2A04AE" w:rsidRDefault="00EC7983" w:rsidP="00EC7983">
            <w:pPr>
              <w:pStyle w:val="Bezproreda"/>
              <w:jc w:val="center"/>
              <w:rPr>
                <w:rFonts w:ascii="Arial" w:hAnsi="Arial" w:cs="Arial"/>
                <w:b/>
                <w:sz w:val="20"/>
                <w:szCs w:val="20"/>
              </w:rPr>
            </w:pPr>
            <w:r w:rsidRPr="002A04AE">
              <w:rPr>
                <w:rFonts w:ascii="Arial" w:hAnsi="Arial" w:cs="Arial"/>
                <w:b/>
                <w:sz w:val="20"/>
                <w:szCs w:val="20"/>
              </w:rPr>
              <w:t>Prilog: 5</w:t>
            </w:r>
          </w:p>
        </w:tc>
        <w:tc>
          <w:tcPr>
            <w:tcW w:w="7053" w:type="dxa"/>
            <w:tcBorders>
              <w:top w:val="single" w:sz="4" w:space="0" w:color="auto"/>
              <w:left w:val="single" w:sz="4" w:space="0" w:color="auto"/>
              <w:bottom w:val="single" w:sz="4" w:space="0" w:color="auto"/>
              <w:right w:val="single" w:sz="4" w:space="0" w:color="auto"/>
            </w:tcBorders>
          </w:tcPr>
          <w:p w:rsidR="00EC7983" w:rsidRPr="002A04AE" w:rsidRDefault="00EC7983" w:rsidP="00EC7983">
            <w:pPr>
              <w:pStyle w:val="Bezproreda"/>
              <w:rPr>
                <w:rFonts w:ascii="Arial" w:hAnsi="Arial" w:cs="Arial"/>
                <w:b/>
                <w:sz w:val="20"/>
                <w:szCs w:val="20"/>
              </w:rPr>
            </w:pPr>
          </w:p>
          <w:p w:rsidR="00EC7983" w:rsidRPr="002A04AE" w:rsidRDefault="00EC7983" w:rsidP="00EC7983">
            <w:pPr>
              <w:pStyle w:val="Bezproreda"/>
              <w:rPr>
                <w:rFonts w:ascii="Arial" w:hAnsi="Arial" w:cs="Arial"/>
                <w:b/>
                <w:sz w:val="20"/>
                <w:szCs w:val="20"/>
              </w:rPr>
            </w:pPr>
            <w:r w:rsidRPr="002A04AE">
              <w:rPr>
                <w:rFonts w:ascii="Arial" w:hAnsi="Arial" w:cs="Arial"/>
                <w:b/>
                <w:sz w:val="20"/>
                <w:szCs w:val="20"/>
              </w:rPr>
              <w:t>GODIŠNJI IZVJEŠTAJ O IZVRŠENJU PRORAČUNA GRADA BIOGRADA NA MORU ZA 2022. GODINU</w:t>
            </w:r>
          </w:p>
          <w:p w:rsidR="00EC7983" w:rsidRPr="002A04AE" w:rsidRDefault="00EC7983" w:rsidP="00EC7983">
            <w:pPr>
              <w:pStyle w:val="Bezproreda"/>
              <w:rPr>
                <w:rFonts w:ascii="Arial" w:hAnsi="Arial" w:cs="Arial"/>
                <w:b/>
                <w:sz w:val="20"/>
                <w:szCs w:val="20"/>
              </w:rPr>
            </w:pPr>
          </w:p>
        </w:tc>
      </w:tr>
      <w:tr w:rsidR="00EC7983" w:rsidRPr="002A04AE" w:rsidTr="00EC7983">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2A04AE"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b/>
                <w:sz w:val="20"/>
                <w:szCs w:val="20"/>
              </w:rPr>
            </w:pPr>
            <w:r w:rsidRPr="002A04AE">
              <w:rPr>
                <w:rFonts w:ascii="Arial" w:hAnsi="Arial" w:cs="Arial"/>
                <w:b/>
                <w:sz w:val="20"/>
                <w:szCs w:val="20"/>
              </w:rPr>
              <w:t>Opći dio proračuna: Račun financiranja prema ekonomskoj klasifikaciji</w:t>
            </w:r>
          </w:p>
          <w:p w:rsidR="00EC7983" w:rsidRPr="002A04AE" w:rsidRDefault="00EC7983" w:rsidP="00EC7983">
            <w:pPr>
              <w:pStyle w:val="Bezproreda"/>
              <w:rPr>
                <w:rFonts w:ascii="Arial" w:hAnsi="Arial" w:cs="Arial"/>
                <w:sz w:val="20"/>
                <w:szCs w:val="20"/>
              </w:rPr>
            </w:pPr>
          </w:p>
        </w:tc>
      </w:tr>
    </w:tbl>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61"/>
        <w:gridCol w:w="2910"/>
        <w:gridCol w:w="3690"/>
      </w:tblGrid>
      <w:tr w:rsidR="00EC7983" w:rsidRPr="002A04AE" w:rsidTr="00EC7983">
        <w:tc>
          <w:tcPr>
            <w:tcW w:w="2518" w:type="dxa"/>
            <w:tcBorders>
              <w:top w:val="single" w:sz="4" w:space="0" w:color="auto"/>
              <w:left w:val="single" w:sz="4" w:space="0" w:color="auto"/>
              <w:bottom w:val="single" w:sz="4" w:space="0" w:color="auto"/>
              <w:right w:val="single" w:sz="4" w:space="0" w:color="auto"/>
            </w:tcBorders>
          </w:tcPr>
          <w:p w:rsidR="00EC7983" w:rsidRPr="002A04AE" w:rsidRDefault="00EC7983" w:rsidP="00EC7983">
            <w:pPr>
              <w:pStyle w:val="Bezproreda"/>
              <w:rPr>
                <w:rFonts w:ascii="Arial" w:hAnsi="Arial" w:cs="Arial"/>
                <w:sz w:val="20"/>
                <w:szCs w:val="20"/>
              </w:rPr>
            </w:pPr>
          </w:p>
          <w:p w:rsidR="00EC7983" w:rsidRPr="002A04AE" w:rsidRDefault="00EC7983" w:rsidP="00EC7983">
            <w:pPr>
              <w:pStyle w:val="Bezproreda"/>
              <w:jc w:val="center"/>
              <w:rPr>
                <w:rFonts w:ascii="Arial" w:hAnsi="Arial" w:cs="Arial"/>
                <w:sz w:val="20"/>
                <w:szCs w:val="20"/>
              </w:rPr>
            </w:pPr>
            <w:r w:rsidRPr="002A04AE">
              <w:rPr>
                <w:rFonts w:ascii="Arial" w:hAnsi="Arial" w:cs="Arial"/>
                <w:sz w:val="20"/>
                <w:szCs w:val="20"/>
              </w:rPr>
              <w:t>KLASA: 400-01/23-04/01</w:t>
            </w:r>
          </w:p>
          <w:p w:rsidR="00EC7983" w:rsidRPr="002A04AE" w:rsidRDefault="00EC7983" w:rsidP="00EC7983">
            <w:pPr>
              <w:pStyle w:val="Bezproreda"/>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7983" w:rsidRPr="002A04AE" w:rsidRDefault="00EC7983" w:rsidP="00EC7983">
            <w:pPr>
              <w:pStyle w:val="Bezproreda"/>
              <w:jc w:val="center"/>
              <w:rPr>
                <w:rFonts w:ascii="Arial" w:hAnsi="Arial" w:cs="Arial"/>
                <w:sz w:val="20"/>
                <w:szCs w:val="20"/>
              </w:rPr>
            </w:pPr>
          </w:p>
          <w:p w:rsidR="00EC7983" w:rsidRPr="002A04AE" w:rsidRDefault="00EC7983" w:rsidP="00EC7983">
            <w:pPr>
              <w:pStyle w:val="Bezproreda"/>
              <w:jc w:val="center"/>
              <w:rPr>
                <w:rFonts w:ascii="Arial" w:hAnsi="Arial" w:cs="Arial"/>
                <w:sz w:val="20"/>
                <w:szCs w:val="20"/>
              </w:rPr>
            </w:pPr>
            <w:r w:rsidRPr="002A04AE">
              <w:rPr>
                <w:rFonts w:ascii="Arial" w:hAnsi="Arial" w:cs="Arial"/>
                <w:sz w:val="20"/>
                <w:szCs w:val="20"/>
              </w:rPr>
              <w:t>URBROJ: 2198-16-01-23-2</w:t>
            </w:r>
          </w:p>
        </w:tc>
        <w:tc>
          <w:tcPr>
            <w:tcW w:w="3793" w:type="dxa"/>
            <w:tcBorders>
              <w:top w:val="single" w:sz="4" w:space="0" w:color="auto"/>
              <w:left w:val="single" w:sz="4" w:space="0" w:color="auto"/>
              <w:bottom w:val="single" w:sz="4" w:space="0" w:color="auto"/>
              <w:right w:val="single" w:sz="4" w:space="0" w:color="auto"/>
            </w:tcBorders>
          </w:tcPr>
          <w:p w:rsidR="00EC7983" w:rsidRPr="002A04AE" w:rsidRDefault="00EC7983" w:rsidP="00EC7983">
            <w:pPr>
              <w:pStyle w:val="Bezproreda"/>
              <w:jc w:val="center"/>
              <w:rPr>
                <w:rFonts w:ascii="Arial" w:hAnsi="Arial" w:cs="Arial"/>
                <w:sz w:val="20"/>
                <w:szCs w:val="20"/>
                <w:highlight w:val="yellow"/>
              </w:rPr>
            </w:pPr>
          </w:p>
          <w:p w:rsidR="00EC7983" w:rsidRPr="002A04AE" w:rsidRDefault="00EC7983" w:rsidP="00EC7983">
            <w:pPr>
              <w:pStyle w:val="Bezproreda"/>
              <w:jc w:val="center"/>
              <w:rPr>
                <w:rFonts w:ascii="Arial" w:hAnsi="Arial" w:cs="Arial"/>
                <w:sz w:val="20"/>
                <w:szCs w:val="20"/>
                <w:highlight w:val="yellow"/>
              </w:rPr>
            </w:pPr>
            <w:r w:rsidRPr="002A04AE">
              <w:rPr>
                <w:rFonts w:ascii="Arial" w:hAnsi="Arial" w:cs="Arial"/>
                <w:sz w:val="20"/>
                <w:szCs w:val="20"/>
              </w:rPr>
              <w:t>Biograd na Moru, 18. travnja 2023.</w:t>
            </w:r>
          </w:p>
        </w:tc>
      </w:tr>
    </w:tbl>
    <w:p w:rsidR="00EC7983" w:rsidRPr="002A04AE" w:rsidRDefault="00EC7983" w:rsidP="00EC7983">
      <w:pPr>
        <w:rPr>
          <w:rFonts w:ascii="Arial" w:hAnsi="Arial" w:cs="Arial"/>
          <w:sz w:val="20"/>
          <w:szCs w:val="20"/>
        </w:rPr>
      </w:pPr>
    </w:p>
    <w:p w:rsidR="000A6DC7" w:rsidRDefault="000A6DC7" w:rsidP="009E64C9">
      <w:pPr>
        <w:jc w:val="center"/>
        <w:rPr>
          <w:rFonts w:ascii="Arial" w:hAnsi="Arial" w:cs="Arial"/>
          <w:sz w:val="22"/>
          <w:szCs w:val="22"/>
          <w:lang w:eastAsia="hr-HR"/>
        </w:rPr>
      </w:pPr>
    </w:p>
    <w:p w:rsidR="00C13A86" w:rsidRDefault="00C13A86" w:rsidP="009E64C9">
      <w:pPr>
        <w:jc w:val="center"/>
        <w:rPr>
          <w:rFonts w:ascii="Arial" w:hAnsi="Arial" w:cs="Arial"/>
          <w:sz w:val="22"/>
          <w:szCs w:val="22"/>
          <w:lang w:eastAsia="hr-HR"/>
        </w:rPr>
      </w:pPr>
    </w:p>
    <w:tbl>
      <w:tblPr>
        <w:tblW w:w="10759" w:type="dxa"/>
        <w:jc w:val="center"/>
        <w:tblLook w:val="04A0" w:firstRow="1" w:lastRow="0" w:firstColumn="1" w:lastColumn="0" w:noHBand="0" w:noVBand="1"/>
      </w:tblPr>
      <w:tblGrid>
        <w:gridCol w:w="4111"/>
        <w:gridCol w:w="1559"/>
        <w:gridCol w:w="1590"/>
        <w:gridCol w:w="1384"/>
        <w:gridCol w:w="1117"/>
        <w:gridCol w:w="998"/>
      </w:tblGrid>
      <w:tr w:rsidR="00C13A86" w:rsidTr="00C13A86">
        <w:trPr>
          <w:trHeight w:val="348"/>
          <w:jc w:val="center"/>
        </w:trPr>
        <w:tc>
          <w:tcPr>
            <w:tcW w:w="10759"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b/>
                <w:bCs/>
                <w:lang w:eastAsia="hr-HR"/>
              </w:rPr>
            </w:pPr>
            <w:r>
              <w:rPr>
                <w:rFonts w:ascii="Arial" w:hAnsi="Arial" w:cs="Arial"/>
                <w:b/>
                <w:bCs/>
              </w:rPr>
              <w:lastRenderedPageBreak/>
              <w:t>Račun financiranja prema ekonomskoj klasifikaciji</w:t>
            </w:r>
          </w:p>
        </w:tc>
      </w:tr>
      <w:tr w:rsidR="00C13A86" w:rsidTr="00C13A86">
        <w:trPr>
          <w:trHeight w:val="264"/>
          <w:jc w:val="center"/>
        </w:trPr>
        <w:tc>
          <w:tcPr>
            <w:tcW w:w="10759"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r>
              <w:rPr>
                <w:rFonts w:ascii="Arial" w:hAnsi="Arial" w:cs="Arial"/>
                <w:sz w:val="20"/>
                <w:szCs w:val="20"/>
              </w:rPr>
              <w:t>Za razdoblje od 01.01.2022. do 31.12.2022.</w:t>
            </w:r>
          </w:p>
        </w:tc>
      </w:tr>
      <w:tr w:rsidR="00C13A86" w:rsidTr="00C13A86">
        <w:trPr>
          <w:trHeight w:val="264"/>
          <w:jc w:val="center"/>
        </w:trPr>
        <w:tc>
          <w:tcPr>
            <w:tcW w:w="10759"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p>
        </w:tc>
      </w:tr>
      <w:tr w:rsidR="00C13A86" w:rsidTr="00C13A86">
        <w:trPr>
          <w:trHeight w:val="264"/>
          <w:jc w:val="center"/>
        </w:trPr>
        <w:tc>
          <w:tcPr>
            <w:tcW w:w="4111"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Racun/Opis</w:t>
            </w:r>
          </w:p>
        </w:tc>
        <w:tc>
          <w:tcPr>
            <w:tcW w:w="1559"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2021</w:t>
            </w:r>
          </w:p>
        </w:tc>
        <w:tc>
          <w:tcPr>
            <w:tcW w:w="1590"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Izvorni plan 2022</w:t>
            </w:r>
          </w:p>
        </w:tc>
        <w:tc>
          <w:tcPr>
            <w:tcW w:w="1384"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2022</w:t>
            </w:r>
          </w:p>
        </w:tc>
        <w:tc>
          <w:tcPr>
            <w:tcW w:w="1117"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3/1</w:t>
            </w:r>
          </w:p>
        </w:tc>
        <w:tc>
          <w:tcPr>
            <w:tcW w:w="99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3/2</w:t>
            </w:r>
          </w:p>
        </w:tc>
      </w:tr>
      <w:tr w:rsidR="00C13A86" w:rsidTr="00C13A86">
        <w:trPr>
          <w:trHeight w:val="264"/>
          <w:jc w:val="center"/>
        </w:trPr>
        <w:tc>
          <w:tcPr>
            <w:tcW w:w="4111"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B. RAČUN ZADUŽIVANJA FINANCIRANJA</w:t>
            </w:r>
          </w:p>
        </w:tc>
        <w:tc>
          <w:tcPr>
            <w:tcW w:w="1559"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1</w:t>
            </w:r>
          </w:p>
        </w:tc>
        <w:tc>
          <w:tcPr>
            <w:tcW w:w="1590"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2</w:t>
            </w:r>
          </w:p>
        </w:tc>
        <w:tc>
          <w:tcPr>
            <w:tcW w:w="1384"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3</w:t>
            </w:r>
          </w:p>
        </w:tc>
        <w:tc>
          <w:tcPr>
            <w:tcW w:w="1117"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4</w:t>
            </w:r>
          </w:p>
        </w:tc>
        <w:tc>
          <w:tcPr>
            <w:tcW w:w="998" w:type="dxa"/>
            <w:tcBorders>
              <w:top w:val="nil"/>
              <w:left w:val="nil"/>
              <w:bottom w:val="nil"/>
              <w:right w:val="nil"/>
            </w:tcBorders>
            <w:shd w:val="clear" w:color="000000" w:fill="808080"/>
            <w:noWrap/>
            <w:vAlign w:val="bottom"/>
            <w:hideMark/>
          </w:tcPr>
          <w:p w:rsidR="00C13A86" w:rsidRDefault="00C13A86">
            <w:pPr>
              <w:jc w:val="center"/>
              <w:rPr>
                <w:rFonts w:ascii="Arial" w:hAnsi="Arial" w:cs="Arial"/>
                <w:b/>
                <w:bCs/>
                <w:color w:val="FFFFFF"/>
                <w:sz w:val="20"/>
                <w:szCs w:val="20"/>
              </w:rPr>
            </w:pPr>
            <w:r>
              <w:rPr>
                <w:rFonts w:ascii="Arial" w:hAnsi="Arial" w:cs="Arial"/>
                <w:b/>
                <w:bCs/>
                <w:color w:val="FFFFFF"/>
                <w:sz w:val="20"/>
                <w:szCs w:val="20"/>
              </w:rPr>
              <w:t>5</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8 Primici od financijske imovine i zaduživanja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221.831,60</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9.355.750,00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4.270.438,76</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1925,08%</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45,65%</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84 Primici od zaduživanja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221.831,60</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9.355.750,00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4.270.438,76</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1925,08%</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45,65%</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844 Primljeni krediti i zajmovi od kreditnih i ostalih financijskih institucija izvan javnog sektora    </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9.355.750,00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4.270.438,76</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45,65%</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r>
              <w:rPr>
                <w:rFonts w:ascii="Arial" w:hAnsi="Arial" w:cs="Arial"/>
                <w:sz w:val="20"/>
                <w:szCs w:val="20"/>
              </w:rPr>
              <w:t xml:space="preserve">8443 Primljeni krediti od tuzemnih kreditnih institucija izvan javnog sektora                            </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4.270.438,76</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45,65%</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847 Primljeni zajmovi od drugih razina vlasti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221.831,60</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1117"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sz w:val="20"/>
                <w:szCs w:val="20"/>
              </w:rPr>
            </w:pP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r>
              <w:rPr>
                <w:rFonts w:ascii="Arial" w:hAnsi="Arial" w:cs="Arial"/>
                <w:sz w:val="20"/>
                <w:szCs w:val="20"/>
              </w:rPr>
              <w:t xml:space="preserve">8471 Primljeni zajmovi od državnog proračuna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221.831,60</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1117"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sz w:val="20"/>
                <w:szCs w:val="20"/>
              </w:rPr>
            </w:pP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 Izdaci za financijsku imovinu i otplate zajmova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5.577.321,77</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4.863.698,00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4.710.640,33</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84,46%</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96,85%</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53 Izdaci za dionice i udjele u glavnici                                                               </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1117"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sz w:val="20"/>
                <w:szCs w:val="20"/>
              </w:rPr>
            </w:pP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532 Dionice i udjeli u glavnici trgovačkih društava u javnom sektoru                                    </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50.000,00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1117"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sz w:val="20"/>
                <w:szCs w:val="20"/>
              </w:rPr>
            </w:pP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54 Izdaci za otplatu glavnice primljenih kredita i zajmova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5.577.321,77</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4.813.698,00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4.710.640,33</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84,46%</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97,86%</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544 Otplata glavnice primljenih kredita i zajmova od kreditnih i ostalih financijskih institucija izvan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5.561.265,56</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4.553.698,00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4.470.164,64</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80,38%</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98,17%</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r>
              <w:rPr>
                <w:rFonts w:ascii="Arial" w:hAnsi="Arial" w:cs="Arial"/>
                <w:sz w:val="20"/>
                <w:szCs w:val="20"/>
              </w:rPr>
              <w:t xml:space="preserve">5443 Otplata glavnice primljenih kredita od tuzemnih kreditnih institucija izvan javnog sektora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5.561.265,56</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4.470.164,64</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80,38%</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98,17%</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547 Otplata glavnice primljenih zajmova od drugih razina vlasti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16.056,21</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260.000,00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240.475,69</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1497,71%</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92,49%</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r>
              <w:rPr>
                <w:rFonts w:ascii="Arial" w:hAnsi="Arial" w:cs="Arial"/>
                <w:sz w:val="20"/>
                <w:szCs w:val="20"/>
              </w:rPr>
              <w:t xml:space="preserve">5471 Otplata glavnice primljenih zajmova od državnog proračuna                                           </w:t>
            </w:r>
          </w:p>
        </w:tc>
        <w:tc>
          <w:tcPr>
            <w:tcW w:w="1559"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16.056,21</w:t>
            </w: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240.475,69</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1497,71%</w:t>
            </w: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92,49%</w:t>
            </w:r>
          </w:p>
        </w:tc>
      </w:tr>
      <w:tr w:rsidR="00C13A86" w:rsidTr="00C13A86">
        <w:trPr>
          <w:trHeight w:val="264"/>
          <w:jc w:val="center"/>
        </w:trPr>
        <w:tc>
          <w:tcPr>
            <w:tcW w:w="4111"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NETO FINANCIRANJE</w:t>
            </w:r>
          </w:p>
        </w:tc>
        <w:tc>
          <w:tcPr>
            <w:tcW w:w="1559"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-5.355.490,17</w:t>
            </w:r>
          </w:p>
        </w:tc>
        <w:tc>
          <w:tcPr>
            <w:tcW w:w="159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-20.455.434,00</w:t>
            </w:r>
          </w:p>
        </w:tc>
        <w:tc>
          <w:tcPr>
            <w:tcW w:w="1384"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-639.900,89</w:t>
            </w:r>
          </w:p>
        </w:tc>
        <w:tc>
          <w:tcPr>
            <w:tcW w:w="1117"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11,95%</w:t>
            </w:r>
          </w:p>
        </w:tc>
        <w:tc>
          <w:tcPr>
            <w:tcW w:w="99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3,13%</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color w:val="FFFFFF"/>
                <w:sz w:val="20"/>
                <w:szCs w:val="20"/>
              </w:rPr>
            </w:pPr>
          </w:p>
        </w:tc>
        <w:tc>
          <w:tcPr>
            <w:tcW w:w="1559" w:type="dxa"/>
            <w:tcBorders>
              <w:top w:val="nil"/>
              <w:left w:val="nil"/>
              <w:bottom w:val="nil"/>
              <w:right w:val="nil"/>
            </w:tcBorders>
            <w:shd w:val="clear" w:color="auto" w:fill="auto"/>
            <w:noWrap/>
            <w:vAlign w:val="bottom"/>
            <w:hideMark/>
          </w:tcPr>
          <w:p w:rsidR="00C13A86" w:rsidRDefault="00C13A86">
            <w:pPr>
              <w:rPr>
                <w:sz w:val="20"/>
                <w:szCs w:val="20"/>
              </w:rPr>
            </w:pPr>
          </w:p>
        </w:tc>
        <w:tc>
          <w:tcPr>
            <w:tcW w:w="1590" w:type="dxa"/>
            <w:tcBorders>
              <w:top w:val="nil"/>
              <w:left w:val="nil"/>
              <w:bottom w:val="nil"/>
              <w:right w:val="nil"/>
            </w:tcBorders>
            <w:shd w:val="clear" w:color="auto" w:fill="auto"/>
            <w:noWrap/>
            <w:vAlign w:val="bottom"/>
            <w:hideMark/>
          </w:tcPr>
          <w:p w:rsidR="00C13A86" w:rsidRDefault="00C13A86">
            <w:pPr>
              <w:rPr>
                <w:sz w:val="20"/>
                <w:szCs w:val="20"/>
              </w:rPr>
            </w:pPr>
          </w:p>
        </w:tc>
        <w:tc>
          <w:tcPr>
            <w:tcW w:w="1384" w:type="dxa"/>
            <w:tcBorders>
              <w:top w:val="nil"/>
              <w:left w:val="nil"/>
              <w:bottom w:val="nil"/>
              <w:right w:val="nil"/>
            </w:tcBorders>
            <w:shd w:val="clear" w:color="auto" w:fill="auto"/>
            <w:noWrap/>
            <w:vAlign w:val="bottom"/>
            <w:hideMark/>
          </w:tcPr>
          <w:p w:rsidR="00C13A86" w:rsidRDefault="00C13A86">
            <w:pPr>
              <w:rPr>
                <w:sz w:val="20"/>
                <w:szCs w:val="20"/>
              </w:rPr>
            </w:pPr>
          </w:p>
        </w:tc>
        <w:tc>
          <w:tcPr>
            <w:tcW w:w="1117" w:type="dxa"/>
            <w:tcBorders>
              <w:top w:val="nil"/>
              <w:left w:val="nil"/>
              <w:bottom w:val="nil"/>
              <w:right w:val="nil"/>
            </w:tcBorders>
            <w:shd w:val="clear" w:color="auto" w:fill="auto"/>
            <w:noWrap/>
            <w:vAlign w:val="bottom"/>
            <w:hideMark/>
          </w:tcPr>
          <w:p w:rsidR="00C13A86" w:rsidRDefault="00C13A86">
            <w:pPr>
              <w:rPr>
                <w:sz w:val="20"/>
                <w:szCs w:val="20"/>
              </w:rPr>
            </w:pPr>
          </w:p>
        </w:tc>
        <w:tc>
          <w:tcPr>
            <w:tcW w:w="998" w:type="dxa"/>
            <w:tcBorders>
              <w:top w:val="nil"/>
              <w:left w:val="nil"/>
              <w:bottom w:val="nil"/>
              <w:right w:val="nil"/>
            </w:tcBorders>
            <w:shd w:val="clear" w:color="auto" w:fill="auto"/>
            <w:noWrap/>
            <w:vAlign w:val="bottom"/>
            <w:hideMark/>
          </w:tcPr>
          <w:p w:rsidR="00C13A86" w:rsidRDefault="00C13A86">
            <w:pPr>
              <w:rPr>
                <w:sz w:val="20"/>
                <w:szCs w:val="20"/>
              </w:rPr>
            </w:pP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9 Vlastiti izvori</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-24.947.486,00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-199.699,32</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0,80%</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92 Rezultat poslovanja                                                                                 </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-24.947.486,00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-199.699,32</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0,80%</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922 Višak/manjak prihoda                                                                                </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b/>
                <w:bCs/>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-24.947.486,00</w:t>
            </w: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-199.699,32</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b/>
                <w:bCs/>
                <w:sz w:val="20"/>
                <w:szCs w:val="20"/>
              </w:rPr>
            </w:pPr>
            <w:r>
              <w:rPr>
                <w:rFonts w:ascii="Arial" w:hAnsi="Arial" w:cs="Arial"/>
                <w:b/>
                <w:bCs/>
                <w:sz w:val="20"/>
                <w:szCs w:val="20"/>
              </w:rPr>
              <w:t>0,80%</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r>
              <w:rPr>
                <w:rFonts w:ascii="Arial" w:hAnsi="Arial" w:cs="Arial"/>
                <w:sz w:val="20"/>
                <w:szCs w:val="20"/>
              </w:rPr>
              <w:t>9221 Višak prihoda</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39.919,10</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76,02%</w:t>
            </w:r>
          </w:p>
        </w:tc>
      </w:tr>
      <w:tr w:rsidR="00C13A86" w:rsidTr="00C13A86">
        <w:trPr>
          <w:trHeight w:val="264"/>
          <w:jc w:val="center"/>
        </w:trPr>
        <w:tc>
          <w:tcPr>
            <w:tcW w:w="4111"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r>
              <w:rPr>
                <w:rFonts w:ascii="Arial" w:hAnsi="Arial" w:cs="Arial"/>
                <w:sz w:val="20"/>
                <w:szCs w:val="20"/>
              </w:rPr>
              <w:t>9222 Manjak prihoda</w:t>
            </w:r>
          </w:p>
        </w:tc>
        <w:tc>
          <w:tcPr>
            <w:tcW w:w="1559" w:type="dxa"/>
            <w:tcBorders>
              <w:top w:val="nil"/>
              <w:left w:val="nil"/>
              <w:bottom w:val="nil"/>
              <w:right w:val="nil"/>
            </w:tcBorders>
            <w:shd w:val="clear" w:color="auto" w:fill="auto"/>
            <w:noWrap/>
            <w:vAlign w:val="bottom"/>
            <w:hideMark/>
          </w:tcPr>
          <w:p w:rsidR="00C13A86" w:rsidRDefault="00C13A86">
            <w:pPr>
              <w:rPr>
                <w:rFonts w:ascii="Arial" w:hAnsi="Arial" w:cs="Arial"/>
                <w:sz w:val="20"/>
                <w:szCs w:val="20"/>
              </w:rPr>
            </w:pPr>
          </w:p>
        </w:tc>
        <w:tc>
          <w:tcPr>
            <w:tcW w:w="1590" w:type="dxa"/>
            <w:tcBorders>
              <w:top w:val="nil"/>
              <w:left w:val="nil"/>
              <w:bottom w:val="nil"/>
              <w:right w:val="nil"/>
            </w:tcBorders>
            <w:shd w:val="clear" w:color="auto" w:fill="auto"/>
            <w:noWrap/>
            <w:vAlign w:val="bottom"/>
            <w:hideMark/>
          </w:tcPr>
          <w:p w:rsidR="00C13A86" w:rsidRDefault="00C13A86">
            <w:pPr>
              <w:jc w:val="right"/>
              <w:rPr>
                <w:sz w:val="20"/>
                <w:szCs w:val="20"/>
              </w:rPr>
            </w:pPr>
          </w:p>
        </w:tc>
        <w:tc>
          <w:tcPr>
            <w:tcW w:w="1384"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239.618,42</w:t>
            </w:r>
          </w:p>
        </w:tc>
        <w:tc>
          <w:tcPr>
            <w:tcW w:w="1117"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p>
        </w:tc>
        <w:tc>
          <w:tcPr>
            <w:tcW w:w="998" w:type="dxa"/>
            <w:tcBorders>
              <w:top w:val="nil"/>
              <w:left w:val="nil"/>
              <w:bottom w:val="nil"/>
              <w:right w:val="nil"/>
            </w:tcBorders>
            <w:shd w:val="clear" w:color="auto" w:fill="auto"/>
            <w:noWrap/>
            <w:vAlign w:val="bottom"/>
            <w:hideMark/>
          </w:tcPr>
          <w:p w:rsidR="00C13A86" w:rsidRDefault="00C13A86">
            <w:pPr>
              <w:jc w:val="right"/>
              <w:rPr>
                <w:rFonts w:ascii="Arial" w:hAnsi="Arial" w:cs="Arial"/>
                <w:sz w:val="20"/>
                <w:szCs w:val="20"/>
              </w:rPr>
            </w:pPr>
            <w:r>
              <w:rPr>
                <w:rFonts w:ascii="Arial" w:hAnsi="Arial" w:cs="Arial"/>
                <w:sz w:val="20"/>
                <w:szCs w:val="20"/>
              </w:rPr>
              <w:t>0,96%</w:t>
            </w:r>
          </w:p>
        </w:tc>
      </w:tr>
      <w:tr w:rsidR="00C13A86" w:rsidTr="00C13A86">
        <w:trPr>
          <w:trHeight w:val="264"/>
          <w:jc w:val="center"/>
        </w:trPr>
        <w:tc>
          <w:tcPr>
            <w:tcW w:w="4111"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KORIŠTENJE SREDSTAVA IZ PRETHODNIH GODINA</w:t>
            </w:r>
          </w:p>
        </w:tc>
        <w:tc>
          <w:tcPr>
            <w:tcW w:w="1559"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 </w:t>
            </w:r>
          </w:p>
        </w:tc>
        <w:tc>
          <w:tcPr>
            <w:tcW w:w="159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-24.947.486,00</w:t>
            </w:r>
          </w:p>
        </w:tc>
        <w:tc>
          <w:tcPr>
            <w:tcW w:w="1384"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-199.699,32</w:t>
            </w:r>
          </w:p>
        </w:tc>
        <w:tc>
          <w:tcPr>
            <w:tcW w:w="1117"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 </w:t>
            </w:r>
          </w:p>
        </w:tc>
        <w:tc>
          <w:tcPr>
            <w:tcW w:w="99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0,80%</w:t>
            </w:r>
          </w:p>
        </w:tc>
      </w:tr>
    </w:tbl>
    <w:p w:rsidR="00C13A86" w:rsidRDefault="00C13A86" w:rsidP="009E64C9">
      <w:pPr>
        <w:jc w:val="center"/>
        <w:rPr>
          <w:rFonts w:ascii="Arial" w:hAnsi="Arial" w:cs="Arial"/>
          <w:sz w:val="22"/>
          <w:szCs w:val="22"/>
          <w:lang w:eastAsia="hr-HR"/>
        </w:rPr>
      </w:pPr>
    </w:p>
    <w:p w:rsidR="000A6DC7" w:rsidRPr="002B6238" w:rsidRDefault="000A6DC7" w:rsidP="000A6DC7">
      <w:pPr>
        <w:jc w:val="center"/>
        <w:rPr>
          <w:rFonts w:ascii="Arial" w:eastAsia="Calibri" w:hAnsi="Arial" w:cs="Arial"/>
          <w:szCs w:val="32"/>
        </w:rPr>
      </w:pPr>
      <w:r>
        <w:rPr>
          <w:rFonts w:ascii="Arial" w:hAnsi="Arial" w:cs="Arial"/>
        </w:rPr>
        <w:t>***</w:t>
      </w: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D90DD2" w:rsidRDefault="00C13A86" w:rsidP="00EC7983">
      <w:pPr>
        <w:rPr>
          <w:rFonts w:ascii="Arial" w:hAnsi="Arial" w:cs="Arial"/>
          <w:sz w:val="20"/>
          <w:szCs w:val="20"/>
        </w:rPr>
      </w:pPr>
    </w:p>
    <w:p w:rsidR="00EC7983" w:rsidRPr="00D90DD2"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1505"/>
        <w:gridCol w:w="7556"/>
      </w:tblGrid>
      <w:tr w:rsidR="00C13A86" w:rsidRPr="004D5A28" w:rsidTr="00C13A86">
        <w:tc>
          <w:tcPr>
            <w:tcW w:w="1526" w:type="dxa"/>
          </w:tcPr>
          <w:p w:rsidR="00C13A86" w:rsidRPr="004D5A28" w:rsidRDefault="00C13A86" w:rsidP="00C13A86">
            <w:pPr>
              <w:pStyle w:val="Bezproreda"/>
              <w:jc w:val="center"/>
              <w:rPr>
                <w:rFonts w:ascii="Arial" w:hAnsi="Arial" w:cs="Arial"/>
                <w:noProof/>
                <w:color w:val="BFBFBF" w:themeColor="background1" w:themeShade="BF"/>
                <w:sz w:val="20"/>
                <w:szCs w:val="20"/>
                <w:lang w:eastAsia="hr-HR"/>
              </w:rPr>
            </w:pPr>
          </w:p>
          <w:p w:rsidR="00C13A86" w:rsidRPr="004D5A28" w:rsidRDefault="00C13A86" w:rsidP="00C13A86">
            <w:pPr>
              <w:pStyle w:val="Bezproreda"/>
              <w:jc w:val="center"/>
              <w:rPr>
                <w:rFonts w:ascii="Arial" w:hAnsi="Arial" w:cs="Arial"/>
                <w:color w:val="BFBFBF" w:themeColor="background1" w:themeShade="BF"/>
                <w:sz w:val="20"/>
                <w:szCs w:val="20"/>
              </w:rPr>
            </w:pPr>
            <w:r w:rsidRPr="004D5A28">
              <w:rPr>
                <w:rFonts w:ascii="Arial" w:hAnsi="Arial" w:cs="Arial"/>
                <w:noProof/>
                <w:color w:val="BFBFBF" w:themeColor="background1" w:themeShade="BF"/>
                <w:sz w:val="20"/>
                <w:szCs w:val="20"/>
              </w:rPr>
              <w:drawing>
                <wp:inline distT="0" distB="0" distL="0" distR="0" wp14:anchorId="20792E52" wp14:editId="63F2D61B">
                  <wp:extent cx="409575" cy="447675"/>
                  <wp:effectExtent l="0" t="0" r="9525" b="9525"/>
                  <wp:docPr id="18" name="Slika 18"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C13A86" w:rsidRPr="004D5A28" w:rsidRDefault="00C13A86" w:rsidP="00C13A86">
            <w:pPr>
              <w:pStyle w:val="Bezproreda"/>
              <w:jc w:val="center"/>
              <w:rPr>
                <w:rFonts w:ascii="Arial" w:hAnsi="Arial" w:cs="Arial"/>
                <w:b/>
                <w:color w:val="BFBFBF" w:themeColor="background1" w:themeShade="BF"/>
                <w:sz w:val="20"/>
                <w:szCs w:val="20"/>
              </w:rPr>
            </w:pP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REPUBLIKA HRVATSKA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ZADARSKA ŽUPANIJA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GRAD BIOGRAD NA MORU</w:t>
            </w:r>
          </w:p>
          <w:p w:rsidR="00C13A86" w:rsidRPr="004D5A28" w:rsidRDefault="00C13A86" w:rsidP="00C13A86">
            <w:pPr>
              <w:pStyle w:val="Bezproreda"/>
              <w:jc w:val="center"/>
              <w:rPr>
                <w:rFonts w:ascii="Arial" w:hAnsi="Arial" w:cs="Arial"/>
                <w:color w:val="BFBFBF" w:themeColor="background1" w:themeShade="BF"/>
                <w:sz w:val="20"/>
                <w:szCs w:val="20"/>
              </w:rPr>
            </w:pPr>
          </w:p>
        </w:tc>
      </w:tr>
    </w:tbl>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D90DD2" w:rsidRDefault="00C13A86" w:rsidP="00EC7983">
      <w:pPr>
        <w:rPr>
          <w:rFonts w:ascii="Arial" w:hAnsi="Arial" w:cs="Arial"/>
          <w:sz w:val="20"/>
          <w:szCs w:val="20"/>
        </w:rPr>
      </w:pPr>
    </w:p>
    <w:p w:rsidR="00EC7983" w:rsidRPr="00D90DD2" w:rsidRDefault="00EC7983" w:rsidP="00EC7983">
      <w:pPr>
        <w:rPr>
          <w:rFonts w:ascii="Arial" w:hAnsi="Arial" w:cs="Arial"/>
          <w:sz w:val="20"/>
          <w:szCs w:val="20"/>
        </w:rPr>
      </w:pPr>
    </w:p>
    <w:p w:rsidR="00EC7983" w:rsidRPr="00D90DD2" w:rsidRDefault="00EC7983" w:rsidP="00EC7983">
      <w:pPr>
        <w:rPr>
          <w:rFonts w:ascii="Arial" w:hAnsi="Arial" w:cs="Arial"/>
          <w:sz w:val="20"/>
          <w:szCs w:val="20"/>
        </w:rPr>
      </w:pPr>
    </w:p>
    <w:p w:rsidR="00EC7983" w:rsidRPr="00D90DD2"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D90DD2"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D90DD2" w:rsidRDefault="00EC7983" w:rsidP="00EC7983">
            <w:pPr>
              <w:pStyle w:val="Bezproreda"/>
              <w:jc w:val="center"/>
              <w:rPr>
                <w:rFonts w:ascii="Arial" w:hAnsi="Arial" w:cs="Arial"/>
                <w:b/>
                <w:sz w:val="20"/>
                <w:szCs w:val="20"/>
              </w:rPr>
            </w:pPr>
            <w:r w:rsidRPr="00D90DD2">
              <w:rPr>
                <w:rFonts w:ascii="Arial" w:hAnsi="Arial" w:cs="Arial"/>
                <w:b/>
                <w:sz w:val="20"/>
                <w:szCs w:val="20"/>
              </w:rPr>
              <w:t>Prilog: 6</w:t>
            </w:r>
          </w:p>
        </w:tc>
        <w:tc>
          <w:tcPr>
            <w:tcW w:w="7053" w:type="dxa"/>
            <w:tcBorders>
              <w:top w:val="single" w:sz="4" w:space="0" w:color="auto"/>
              <w:left w:val="single" w:sz="4" w:space="0" w:color="auto"/>
              <w:bottom w:val="single" w:sz="4" w:space="0" w:color="auto"/>
              <w:right w:val="single" w:sz="4" w:space="0" w:color="auto"/>
            </w:tcBorders>
          </w:tcPr>
          <w:p w:rsidR="00EC7983" w:rsidRPr="00D90DD2" w:rsidRDefault="00EC7983" w:rsidP="00EC7983">
            <w:pPr>
              <w:pStyle w:val="Bezproreda"/>
              <w:rPr>
                <w:rFonts w:ascii="Arial" w:hAnsi="Arial" w:cs="Arial"/>
                <w:b/>
                <w:sz w:val="20"/>
                <w:szCs w:val="20"/>
              </w:rPr>
            </w:pPr>
          </w:p>
          <w:p w:rsidR="00EC7983" w:rsidRPr="00D90DD2" w:rsidRDefault="00EC7983" w:rsidP="00EC7983">
            <w:pPr>
              <w:pStyle w:val="Bezproreda"/>
              <w:rPr>
                <w:rFonts w:ascii="Arial" w:hAnsi="Arial" w:cs="Arial"/>
                <w:b/>
                <w:sz w:val="20"/>
                <w:szCs w:val="20"/>
              </w:rPr>
            </w:pPr>
            <w:r w:rsidRPr="00D90DD2">
              <w:rPr>
                <w:rFonts w:ascii="Arial" w:hAnsi="Arial" w:cs="Arial"/>
                <w:b/>
                <w:sz w:val="20"/>
                <w:szCs w:val="20"/>
              </w:rPr>
              <w:t>GODIŠNJI IZVJEŠTAJ O IZVRŠENJU PRORAČUNA GRADA BIOGRADA NA MORU ZA 2022. GODINU</w:t>
            </w:r>
          </w:p>
          <w:p w:rsidR="00EC7983" w:rsidRPr="00D90DD2" w:rsidRDefault="00EC7983" w:rsidP="00EC7983">
            <w:pPr>
              <w:pStyle w:val="Bezproreda"/>
              <w:rPr>
                <w:rFonts w:ascii="Arial" w:hAnsi="Arial" w:cs="Arial"/>
                <w:b/>
                <w:sz w:val="20"/>
                <w:szCs w:val="20"/>
              </w:rPr>
            </w:pPr>
          </w:p>
        </w:tc>
      </w:tr>
      <w:tr w:rsidR="00EC7983" w:rsidRPr="00D90DD2" w:rsidTr="00EC7983">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D90DD2"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b/>
                <w:sz w:val="20"/>
                <w:szCs w:val="20"/>
              </w:rPr>
            </w:pPr>
            <w:r w:rsidRPr="00D90DD2">
              <w:rPr>
                <w:rFonts w:ascii="Arial" w:hAnsi="Arial" w:cs="Arial"/>
                <w:b/>
                <w:sz w:val="20"/>
                <w:szCs w:val="20"/>
              </w:rPr>
              <w:t>Opći dio proračuna: Račun financiranja prema izvorima financiranja</w:t>
            </w:r>
          </w:p>
          <w:p w:rsidR="00EC7983" w:rsidRPr="00D90DD2" w:rsidRDefault="00EC7983" w:rsidP="00EC7983">
            <w:pPr>
              <w:pStyle w:val="Bezproreda"/>
              <w:rPr>
                <w:rFonts w:ascii="Arial" w:hAnsi="Arial" w:cs="Arial"/>
                <w:sz w:val="20"/>
                <w:szCs w:val="20"/>
              </w:rPr>
            </w:pPr>
          </w:p>
        </w:tc>
      </w:tr>
    </w:tbl>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61"/>
        <w:gridCol w:w="2910"/>
        <w:gridCol w:w="3690"/>
      </w:tblGrid>
      <w:tr w:rsidR="00EC7983" w:rsidRPr="00D90DD2" w:rsidTr="00EC7983">
        <w:tc>
          <w:tcPr>
            <w:tcW w:w="2518" w:type="dxa"/>
            <w:tcBorders>
              <w:top w:val="single" w:sz="4" w:space="0" w:color="auto"/>
              <w:left w:val="single" w:sz="4" w:space="0" w:color="auto"/>
              <w:bottom w:val="single" w:sz="4" w:space="0" w:color="auto"/>
              <w:right w:val="single" w:sz="4" w:space="0" w:color="auto"/>
            </w:tcBorders>
          </w:tcPr>
          <w:p w:rsidR="00EC7983" w:rsidRPr="00D90DD2" w:rsidRDefault="00EC7983" w:rsidP="00EC7983">
            <w:pPr>
              <w:pStyle w:val="Bezproreda"/>
              <w:rPr>
                <w:rFonts w:ascii="Arial" w:hAnsi="Arial" w:cs="Arial"/>
                <w:sz w:val="20"/>
                <w:szCs w:val="20"/>
              </w:rPr>
            </w:pPr>
          </w:p>
          <w:p w:rsidR="00EC7983" w:rsidRPr="00D90DD2" w:rsidRDefault="00EC7983" w:rsidP="00EC7983">
            <w:pPr>
              <w:pStyle w:val="Bezproreda"/>
              <w:jc w:val="center"/>
              <w:rPr>
                <w:rFonts w:ascii="Arial" w:hAnsi="Arial" w:cs="Arial"/>
                <w:sz w:val="20"/>
                <w:szCs w:val="20"/>
              </w:rPr>
            </w:pPr>
            <w:r w:rsidRPr="00D90DD2">
              <w:rPr>
                <w:rFonts w:ascii="Arial" w:hAnsi="Arial" w:cs="Arial"/>
                <w:sz w:val="20"/>
                <w:szCs w:val="20"/>
              </w:rPr>
              <w:t>KLASA: 400-01/23-04/01</w:t>
            </w:r>
          </w:p>
          <w:p w:rsidR="00EC7983" w:rsidRPr="00D90DD2" w:rsidRDefault="00EC7983" w:rsidP="00EC7983">
            <w:pPr>
              <w:pStyle w:val="Bezproreda"/>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7983" w:rsidRPr="00D90DD2" w:rsidRDefault="00EC7983" w:rsidP="00EC7983">
            <w:pPr>
              <w:pStyle w:val="Bezproreda"/>
              <w:jc w:val="center"/>
              <w:rPr>
                <w:rFonts w:ascii="Arial" w:hAnsi="Arial" w:cs="Arial"/>
                <w:sz w:val="20"/>
                <w:szCs w:val="20"/>
              </w:rPr>
            </w:pPr>
          </w:p>
          <w:p w:rsidR="00EC7983" w:rsidRPr="00D90DD2" w:rsidRDefault="00EC7983" w:rsidP="00EC7983">
            <w:pPr>
              <w:pStyle w:val="Bezproreda"/>
              <w:jc w:val="center"/>
              <w:rPr>
                <w:rFonts w:ascii="Arial" w:hAnsi="Arial" w:cs="Arial"/>
                <w:sz w:val="20"/>
                <w:szCs w:val="20"/>
              </w:rPr>
            </w:pPr>
            <w:r w:rsidRPr="00D90DD2">
              <w:rPr>
                <w:rFonts w:ascii="Arial" w:hAnsi="Arial" w:cs="Arial"/>
                <w:sz w:val="20"/>
                <w:szCs w:val="20"/>
              </w:rPr>
              <w:t>URBROJ: 2198-16-01-23-2</w:t>
            </w:r>
          </w:p>
        </w:tc>
        <w:tc>
          <w:tcPr>
            <w:tcW w:w="3793" w:type="dxa"/>
            <w:tcBorders>
              <w:top w:val="single" w:sz="4" w:space="0" w:color="auto"/>
              <w:left w:val="single" w:sz="4" w:space="0" w:color="auto"/>
              <w:bottom w:val="single" w:sz="4" w:space="0" w:color="auto"/>
              <w:right w:val="single" w:sz="4" w:space="0" w:color="auto"/>
            </w:tcBorders>
          </w:tcPr>
          <w:p w:rsidR="00EC7983" w:rsidRPr="00D90DD2" w:rsidRDefault="00EC7983" w:rsidP="00EC7983">
            <w:pPr>
              <w:pStyle w:val="Bezproreda"/>
              <w:jc w:val="center"/>
              <w:rPr>
                <w:rFonts w:ascii="Arial" w:hAnsi="Arial" w:cs="Arial"/>
                <w:sz w:val="20"/>
                <w:szCs w:val="20"/>
                <w:highlight w:val="yellow"/>
              </w:rPr>
            </w:pPr>
          </w:p>
          <w:p w:rsidR="00EC7983" w:rsidRPr="00D90DD2" w:rsidRDefault="00EC7983" w:rsidP="00EC7983">
            <w:pPr>
              <w:pStyle w:val="Bezproreda"/>
              <w:jc w:val="center"/>
              <w:rPr>
                <w:rFonts w:ascii="Arial" w:hAnsi="Arial" w:cs="Arial"/>
                <w:sz w:val="20"/>
                <w:szCs w:val="20"/>
                <w:highlight w:val="yellow"/>
              </w:rPr>
            </w:pPr>
            <w:r w:rsidRPr="00D90DD2">
              <w:rPr>
                <w:rFonts w:ascii="Arial" w:hAnsi="Arial" w:cs="Arial"/>
                <w:sz w:val="20"/>
                <w:szCs w:val="20"/>
              </w:rPr>
              <w:t>Biograd na Moru, 18. travnja 2023.</w:t>
            </w:r>
          </w:p>
        </w:tc>
      </w:tr>
    </w:tbl>
    <w:p w:rsidR="00EC7983" w:rsidRPr="00D90DD2" w:rsidRDefault="00EC7983" w:rsidP="00EC7983">
      <w:pPr>
        <w:rPr>
          <w:rFonts w:ascii="Arial" w:hAnsi="Arial" w:cs="Arial"/>
          <w:sz w:val="20"/>
          <w:szCs w:val="20"/>
        </w:rPr>
      </w:pPr>
    </w:p>
    <w:p w:rsidR="000A6DC7" w:rsidRDefault="000A6DC7" w:rsidP="009E64C9">
      <w:pPr>
        <w:jc w:val="center"/>
        <w:rPr>
          <w:rFonts w:ascii="Arial" w:hAnsi="Arial" w:cs="Arial"/>
          <w:sz w:val="22"/>
          <w:szCs w:val="22"/>
          <w:lang w:eastAsia="hr-HR"/>
        </w:rPr>
      </w:pPr>
    </w:p>
    <w:p w:rsidR="00C13A86" w:rsidRDefault="00C13A86" w:rsidP="009E64C9">
      <w:pPr>
        <w:jc w:val="center"/>
        <w:rPr>
          <w:rFonts w:ascii="Arial" w:hAnsi="Arial" w:cs="Arial"/>
          <w:sz w:val="22"/>
          <w:szCs w:val="22"/>
          <w:lang w:eastAsia="hr-HR"/>
        </w:rPr>
      </w:pPr>
    </w:p>
    <w:tbl>
      <w:tblPr>
        <w:tblW w:w="11070" w:type="dxa"/>
        <w:jc w:val="center"/>
        <w:tblLook w:val="04A0" w:firstRow="1" w:lastRow="0" w:firstColumn="1" w:lastColumn="0" w:noHBand="0" w:noVBand="1"/>
      </w:tblPr>
      <w:tblGrid>
        <w:gridCol w:w="3828"/>
        <w:gridCol w:w="1562"/>
        <w:gridCol w:w="1838"/>
        <w:gridCol w:w="1562"/>
        <w:gridCol w:w="1140"/>
        <w:gridCol w:w="1140"/>
      </w:tblGrid>
      <w:tr w:rsidR="00C13A86" w:rsidTr="00C13A86">
        <w:trPr>
          <w:trHeight w:val="348"/>
          <w:jc w:val="center"/>
        </w:trPr>
        <w:tc>
          <w:tcPr>
            <w:tcW w:w="11070"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b/>
                <w:bCs/>
                <w:lang w:eastAsia="hr-HR"/>
              </w:rPr>
            </w:pPr>
            <w:r>
              <w:rPr>
                <w:rFonts w:ascii="Arial" w:hAnsi="Arial" w:cs="Arial"/>
                <w:b/>
                <w:bCs/>
              </w:rPr>
              <w:lastRenderedPageBreak/>
              <w:t>Račun financiranja prema izvorima</w:t>
            </w:r>
          </w:p>
        </w:tc>
      </w:tr>
      <w:tr w:rsidR="00C13A86" w:rsidTr="00C13A86">
        <w:trPr>
          <w:trHeight w:val="264"/>
          <w:jc w:val="center"/>
        </w:trPr>
        <w:tc>
          <w:tcPr>
            <w:tcW w:w="11070"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r>
              <w:rPr>
                <w:rFonts w:ascii="Arial" w:hAnsi="Arial" w:cs="Arial"/>
                <w:sz w:val="20"/>
                <w:szCs w:val="20"/>
              </w:rPr>
              <w:t>Za razdoblje od 01.01.2022. do 31.12.2022.</w:t>
            </w:r>
          </w:p>
        </w:tc>
      </w:tr>
      <w:tr w:rsidR="00C13A86" w:rsidTr="00C13A86">
        <w:trPr>
          <w:trHeight w:val="264"/>
          <w:jc w:val="center"/>
        </w:trPr>
        <w:tc>
          <w:tcPr>
            <w:tcW w:w="11070" w:type="dxa"/>
            <w:gridSpan w:val="6"/>
            <w:tcBorders>
              <w:top w:val="nil"/>
              <w:left w:val="nil"/>
              <w:bottom w:val="nil"/>
              <w:right w:val="nil"/>
            </w:tcBorders>
            <w:shd w:val="clear" w:color="auto" w:fill="auto"/>
            <w:noWrap/>
            <w:vAlign w:val="bottom"/>
            <w:hideMark/>
          </w:tcPr>
          <w:p w:rsidR="00C13A86" w:rsidRDefault="00C13A86">
            <w:pPr>
              <w:jc w:val="center"/>
              <w:rPr>
                <w:rFonts w:ascii="Arial" w:hAnsi="Arial" w:cs="Arial"/>
                <w:sz w:val="20"/>
                <w:szCs w:val="20"/>
              </w:rPr>
            </w:pPr>
          </w:p>
        </w:tc>
      </w:tr>
      <w:tr w:rsidR="00C13A86" w:rsidTr="00C13A86">
        <w:trPr>
          <w:trHeight w:val="264"/>
          <w:jc w:val="center"/>
        </w:trPr>
        <w:tc>
          <w:tcPr>
            <w:tcW w:w="382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Račun / opis</w:t>
            </w:r>
          </w:p>
        </w:tc>
        <w:tc>
          <w:tcPr>
            <w:tcW w:w="156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2021.</w:t>
            </w:r>
          </w:p>
        </w:tc>
        <w:tc>
          <w:tcPr>
            <w:tcW w:w="183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Izvorni plan 2022.</w:t>
            </w:r>
          </w:p>
        </w:tc>
        <w:tc>
          <w:tcPr>
            <w:tcW w:w="156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Izvršenje 2022.</w:t>
            </w:r>
          </w:p>
        </w:tc>
        <w:tc>
          <w:tcPr>
            <w:tcW w:w="1140"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3/1</w:t>
            </w:r>
          </w:p>
        </w:tc>
        <w:tc>
          <w:tcPr>
            <w:tcW w:w="1140"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Indeks  3/2</w:t>
            </w:r>
          </w:p>
        </w:tc>
      </w:tr>
      <w:tr w:rsidR="00C13A86" w:rsidTr="00C13A86">
        <w:trPr>
          <w:trHeight w:val="264"/>
          <w:jc w:val="center"/>
        </w:trPr>
        <w:tc>
          <w:tcPr>
            <w:tcW w:w="382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B. RAČUN ZADUŽIVANJA FINANCIRANJA</w:t>
            </w:r>
          </w:p>
        </w:tc>
        <w:tc>
          <w:tcPr>
            <w:tcW w:w="156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1</w:t>
            </w:r>
          </w:p>
        </w:tc>
        <w:tc>
          <w:tcPr>
            <w:tcW w:w="1838"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2</w:t>
            </w:r>
          </w:p>
        </w:tc>
        <w:tc>
          <w:tcPr>
            <w:tcW w:w="1562"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3</w:t>
            </w:r>
          </w:p>
        </w:tc>
        <w:tc>
          <w:tcPr>
            <w:tcW w:w="1140"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4</w:t>
            </w:r>
          </w:p>
        </w:tc>
        <w:tc>
          <w:tcPr>
            <w:tcW w:w="1140" w:type="dxa"/>
            <w:tcBorders>
              <w:top w:val="nil"/>
              <w:left w:val="nil"/>
              <w:bottom w:val="nil"/>
              <w:right w:val="nil"/>
            </w:tcBorders>
            <w:shd w:val="clear" w:color="000000" w:fill="C0C0C0"/>
            <w:noWrap/>
            <w:vAlign w:val="bottom"/>
            <w:hideMark/>
          </w:tcPr>
          <w:p w:rsidR="00C13A86" w:rsidRDefault="00C13A86">
            <w:pPr>
              <w:jc w:val="center"/>
              <w:rPr>
                <w:rFonts w:ascii="Arial" w:hAnsi="Arial" w:cs="Arial"/>
                <w:b/>
                <w:bCs/>
                <w:sz w:val="20"/>
                <w:szCs w:val="20"/>
              </w:rPr>
            </w:pPr>
            <w:r>
              <w:rPr>
                <w:rFonts w:ascii="Arial" w:hAnsi="Arial" w:cs="Arial"/>
                <w:b/>
                <w:bCs/>
                <w:sz w:val="20"/>
                <w:szCs w:val="20"/>
              </w:rPr>
              <w:t>5</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UKUPNI PRIMICI</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221.831,60</w:t>
            </w:r>
          </w:p>
        </w:tc>
        <w:tc>
          <w:tcPr>
            <w:tcW w:w="183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9.355.750,00</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4.270.438,76</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1925,08%</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45,65%</w:t>
            </w:r>
          </w:p>
        </w:tc>
      </w:tr>
      <w:tr w:rsidR="00C13A86" w:rsidTr="00C13A86">
        <w:trPr>
          <w:trHeight w:val="264"/>
          <w:jc w:val="center"/>
        </w:trPr>
        <w:tc>
          <w:tcPr>
            <w:tcW w:w="3828"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 xml:space="preserve">7. NAMJENSKI PRIMICI  </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221.831,60</w:t>
            </w:r>
          </w:p>
        </w:tc>
        <w:tc>
          <w:tcPr>
            <w:tcW w:w="183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9.355.750,00</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4.270.438,76</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1925,08%</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45,65%</w:t>
            </w:r>
          </w:p>
        </w:tc>
      </w:tr>
      <w:tr w:rsidR="00C13A86" w:rsidTr="00C13A86">
        <w:trPr>
          <w:trHeight w:val="264"/>
          <w:jc w:val="center"/>
        </w:trPr>
        <w:tc>
          <w:tcPr>
            <w:tcW w:w="3828"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7.1. Namjenski primici od zaduživanja</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221.831,60</w:t>
            </w:r>
          </w:p>
        </w:tc>
        <w:tc>
          <w:tcPr>
            <w:tcW w:w="183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9.355.750,00</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4.270.438,76</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1925,08%</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45,65%</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UKUPNI IZDACI</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5.577.321,77</w:t>
            </w:r>
          </w:p>
        </w:tc>
        <w:tc>
          <w:tcPr>
            <w:tcW w:w="183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4.863.698,00</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4.710.640,33</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84,46%</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96,85%</w:t>
            </w:r>
          </w:p>
        </w:tc>
      </w:tr>
      <w:tr w:rsidR="00C13A86" w:rsidTr="00C13A86">
        <w:trPr>
          <w:trHeight w:val="264"/>
          <w:jc w:val="center"/>
        </w:trPr>
        <w:tc>
          <w:tcPr>
            <w:tcW w:w="3828"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1. OPĆI PRIHODI I PRIMICI</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5.243.215,56</w:t>
            </w:r>
          </w:p>
        </w:tc>
        <w:tc>
          <w:tcPr>
            <w:tcW w:w="183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4.277.698,00</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4.142.935,64</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79,02%</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96,85%</w:t>
            </w:r>
          </w:p>
        </w:tc>
      </w:tr>
      <w:tr w:rsidR="00C13A86" w:rsidTr="00C13A86">
        <w:trPr>
          <w:trHeight w:val="264"/>
          <w:jc w:val="center"/>
        </w:trPr>
        <w:tc>
          <w:tcPr>
            <w:tcW w:w="3828"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1.1. Prihodi od poreza</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5.243.215,56</w:t>
            </w:r>
          </w:p>
        </w:tc>
        <w:tc>
          <w:tcPr>
            <w:tcW w:w="183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4.277.698,00</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4.142.935,64</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79,02%</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96,85%</w:t>
            </w:r>
          </w:p>
        </w:tc>
      </w:tr>
      <w:tr w:rsidR="00C13A86" w:rsidTr="00C13A86">
        <w:trPr>
          <w:trHeight w:val="264"/>
          <w:jc w:val="center"/>
        </w:trPr>
        <w:tc>
          <w:tcPr>
            <w:tcW w:w="3828"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6. PRIH.OD PRODAJE ILI ZAMJ.NEFIN.IMOVINE I NAK. S NAS.OSIG.</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334.106,21</w:t>
            </w:r>
          </w:p>
        </w:tc>
        <w:tc>
          <w:tcPr>
            <w:tcW w:w="183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586.000,00</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567.704,69</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169,92%</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96,88%</w:t>
            </w:r>
          </w:p>
        </w:tc>
      </w:tr>
      <w:tr w:rsidR="00C13A86" w:rsidTr="00C13A86">
        <w:trPr>
          <w:trHeight w:val="264"/>
          <w:jc w:val="center"/>
        </w:trPr>
        <w:tc>
          <w:tcPr>
            <w:tcW w:w="3828"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6.1. Prihodi od prodaje nefinancijske imovine</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334.106,21</w:t>
            </w:r>
          </w:p>
        </w:tc>
        <w:tc>
          <w:tcPr>
            <w:tcW w:w="183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586.000,00</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567.704,69</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169,92%</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96,88%</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NETO FINANCIRANJE</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-5.355.490,17</w:t>
            </w:r>
          </w:p>
        </w:tc>
        <w:tc>
          <w:tcPr>
            <w:tcW w:w="183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4.492.052,00</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-440.201,57</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 </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 </w:t>
            </w:r>
          </w:p>
        </w:tc>
      </w:tr>
      <w:tr w:rsidR="00C13A86" w:rsidTr="00C13A86">
        <w:trPr>
          <w:trHeight w:val="264"/>
          <w:jc w:val="center"/>
        </w:trPr>
        <w:tc>
          <w:tcPr>
            <w:tcW w:w="3828" w:type="dxa"/>
            <w:tcBorders>
              <w:top w:val="nil"/>
              <w:left w:val="nil"/>
              <w:bottom w:val="nil"/>
              <w:right w:val="nil"/>
            </w:tcBorders>
            <w:shd w:val="clear" w:color="000000" w:fill="808080"/>
            <w:noWrap/>
            <w:vAlign w:val="bottom"/>
            <w:hideMark/>
          </w:tcPr>
          <w:p w:rsidR="00C13A86" w:rsidRDefault="00C13A86">
            <w:pPr>
              <w:rPr>
                <w:rFonts w:ascii="Arial" w:hAnsi="Arial" w:cs="Arial"/>
                <w:b/>
                <w:bCs/>
                <w:color w:val="FFFFFF"/>
                <w:sz w:val="20"/>
                <w:szCs w:val="20"/>
              </w:rPr>
            </w:pPr>
            <w:r>
              <w:rPr>
                <w:rFonts w:ascii="Arial" w:hAnsi="Arial" w:cs="Arial"/>
                <w:b/>
                <w:bCs/>
                <w:color w:val="FFFFFF"/>
                <w:sz w:val="20"/>
                <w:szCs w:val="20"/>
              </w:rPr>
              <w:t xml:space="preserve"> KORIŠTENJE SREDSTAVA IZ PRETHODNIH GODINA</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 </w:t>
            </w:r>
          </w:p>
        </w:tc>
        <w:tc>
          <w:tcPr>
            <w:tcW w:w="1838"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25.052.514,00</w:t>
            </w:r>
          </w:p>
        </w:tc>
        <w:tc>
          <w:tcPr>
            <w:tcW w:w="1562"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279.537,52</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 </w:t>
            </w:r>
          </w:p>
        </w:tc>
        <w:tc>
          <w:tcPr>
            <w:tcW w:w="1140" w:type="dxa"/>
            <w:tcBorders>
              <w:top w:val="nil"/>
              <w:left w:val="nil"/>
              <w:bottom w:val="nil"/>
              <w:right w:val="nil"/>
            </w:tcBorders>
            <w:shd w:val="clear" w:color="000000" w:fill="808080"/>
            <w:noWrap/>
            <w:vAlign w:val="bottom"/>
            <w:hideMark/>
          </w:tcPr>
          <w:p w:rsidR="00C13A86" w:rsidRDefault="00C13A86">
            <w:pPr>
              <w:jc w:val="right"/>
              <w:rPr>
                <w:rFonts w:ascii="Arial" w:hAnsi="Arial" w:cs="Arial"/>
                <w:b/>
                <w:bCs/>
                <w:color w:val="FFFFFF"/>
                <w:sz w:val="20"/>
                <w:szCs w:val="20"/>
              </w:rPr>
            </w:pPr>
            <w:r>
              <w:rPr>
                <w:rFonts w:ascii="Arial" w:hAnsi="Arial" w:cs="Arial"/>
                <w:b/>
                <w:bCs/>
                <w:color w:val="FFFFFF"/>
                <w:sz w:val="20"/>
                <w:szCs w:val="20"/>
              </w:rPr>
              <w:t>1,12%</w:t>
            </w:r>
          </w:p>
        </w:tc>
      </w:tr>
      <w:tr w:rsidR="00C13A86" w:rsidTr="00C13A86">
        <w:trPr>
          <w:trHeight w:val="264"/>
          <w:jc w:val="center"/>
        </w:trPr>
        <w:tc>
          <w:tcPr>
            <w:tcW w:w="3828"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1. OPĆI PRIHODI I PRIMICI</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83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7.400,00</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-292,51</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-3,95%</w:t>
            </w:r>
          </w:p>
        </w:tc>
      </w:tr>
      <w:tr w:rsidR="00C13A86" w:rsidTr="00C13A86">
        <w:trPr>
          <w:trHeight w:val="264"/>
          <w:jc w:val="center"/>
        </w:trPr>
        <w:tc>
          <w:tcPr>
            <w:tcW w:w="3828"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1.1. Prihodi od poreza</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83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7.400,00</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-292,51</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-3,95%</w:t>
            </w:r>
          </w:p>
        </w:tc>
      </w:tr>
      <w:tr w:rsidR="00C13A86" w:rsidTr="00C13A86">
        <w:trPr>
          <w:trHeight w:val="264"/>
          <w:jc w:val="center"/>
        </w:trPr>
        <w:tc>
          <w:tcPr>
            <w:tcW w:w="3828"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3. PRIHODI ZA POSEBNE NAMJENE I PO POSEBNIM PROPISIMA</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83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45.114,00</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279.830,03</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620,27%</w:t>
            </w:r>
          </w:p>
        </w:tc>
      </w:tr>
      <w:tr w:rsidR="00C13A86" w:rsidTr="00C13A86">
        <w:trPr>
          <w:trHeight w:val="264"/>
          <w:jc w:val="center"/>
        </w:trPr>
        <w:tc>
          <w:tcPr>
            <w:tcW w:w="3828"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3.8. Ostali prihodi za posebne namjene-pror.kor.</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83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45.114,00</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279.830,03</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620,27%</w:t>
            </w:r>
          </w:p>
        </w:tc>
      </w:tr>
      <w:tr w:rsidR="00C13A86" w:rsidTr="00C13A86">
        <w:trPr>
          <w:trHeight w:val="264"/>
          <w:jc w:val="center"/>
        </w:trPr>
        <w:tc>
          <w:tcPr>
            <w:tcW w:w="3828" w:type="dxa"/>
            <w:tcBorders>
              <w:top w:val="nil"/>
              <w:left w:val="nil"/>
              <w:bottom w:val="nil"/>
              <w:right w:val="nil"/>
            </w:tcBorders>
            <w:shd w:val="clear" w:color="000000" w:fill="FFFF00"/>
            <w:noWrap/>
            <w:vAlign w:val="bottom"/>
            <w:hideMark/>
          </w:tcPr>
          <w:p w:rsidR="00C13A86" w:rsidRDefault="00C13A86">
            <w:pPr>
              <w:rPr>
                <w:rFonts w:ascii="Arial" w:hAnsi="Arial" w:cs="Arial"/>
                <w:b/>
                <w:bCs/>
                <w:sz w:val="20"/>
                <w:szCs w:val="20"/>
              </w:rPr>
            </w:pPr>
            <w:r>
              <w:rPr>
                <w:rFonts w:ascii="Arial" w:hAnsi="Arial" w:cs="Arial"/>
                <w:b/>
                <w:bCs/>
                <w:sz w:val="20"/>
                <w:szCs w:val="20"/>
              </w:rPr>
              <w:t>6. PRIH.OD PRODAJE ILI ZAMJ.NEFIN.IMOVINE I NAK. S NAS.OSIG.</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838"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25.000.000,00</w:t>
            </w:r>
          </w:p>
        </w:tc>
        <w:tc>
          <w:tcPr>
            <w:tcW w:w="1562"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00"/>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r>
      <w:tr w:rsidR="00C13A86" w:rsidTr="00C13A86">
        <w:trPr>
          <w:trHeight w:val="264"/>
          <w:jc w:val="center"/>
        </w:trPr>
        <w:tc>
          <w:tcPr>
            <w:tcW w:w="3828" w:type="dxa"/>
            <w:tcBorders>
              <w:top w:val="nil"/>
              <w:left w:val="nil"/>
              <w:bottom w:val="nil"/>
              <w:right w:val="nil"/>
            </w:tcBorders>
            <w:shd w:val="clear" w:color="000000" w:fill="FFFF99"/>
            <w:noWrap/>
            <w:vAlign w:val="bottom"/>
            <w:hideMark/>
          </w:tcPr>
          <w:p w:rsidR="00C13A86" w:rsidRDefault="00C13A86">
            <w:pPr>
              <w:rPr>
                <w:rFonts w:ascii="Arial" w:hAnsi="Arial" w:cs="Arial"/>
                <w:b/>
                <w:bCs/>
                <w:sz w:val="20"/>
                <w:szCs w:val="20"/>
              </w:rPr>
            </w:pPr>
            <w:r>
              <w:rPr>
                <w:rFonts w:ascii="Arial" w:hAnsi="Arial" w:cs="Arial"/>
                <w:b/>
                <w:bCs/>
                <w:sz w:val="20"/>
                <w:szCs w:val="20"/>
              </w:rPr>
              <w:t>6.1. Prihodi od prodaje nefinancijske imovine</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838"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25.000.000,00</w:t>
            </w:r>
          </w:p>
        </w:tc>
        <w:tc>
          <w:tcPr>
            <w:tcW w:w="1562"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c>
          <w:tcPr>
            <w:tcW w:w="1140" w:type="dxa"/>
            <w:tcBorders>
              <w:top w:val="nil"/>
              <w:left w:val="nil"/>
              <w:bottom w:val="nil"/>
              <w:right w:val="nil"/>
            </w:tcBorders>
            <w:shd w:val="clear" w:color="000000" w:fill="FFFF99"/>
            <w:noWrap/>
            <w:vAlign w:val="bottom"/>
            <w:hideMark/>
          </w:tcPr>
          <w:p w:rsidR="00C13A86" w:rsidRDefault="00C13A86">
            <w:pPr>
              <w:jc w:val="right"/>
              <w:rPr>
                <w:rFonts w:ascii="Arial" w:hAnsi="Arial" w:cs="Arial"/>
                <w:b/>
                <w:bCs/>
                <w:sz w:val="20"/>
                <w:szCs w:val="20"/>
              </w:rPr>
            </w:pPr>
            <w:r>
              <w:rPr>
                <w:rFonts w:ascii="Arial" w:hAnsi="Arial" w:cs="Arial"/>
                <w:b/>
                <w:bCs/>
                <w:sz w:val="20"/>
                <w:szCs w:val="20"/>
              </w:rPr>
              <w:t> </w:t>
            </w:r>
          </w:p>
        </w:tc>
      </w:tr>
    </w:tbl>
    <w:p w:rsidR="00C13A86" w:rsidRDefault="00C13A86" w:rsidP="009E64C9">
      <w:pPr>
        <w:jc w:val="center"/>
        <w:rPr>
          <w:rFonts w:ascii="Arial" w:hAnsi="Arial" w:cs="Arial"/>
          <w:sz w:val="22"/>
          <w:szCs w:val="22"/>
          <w:lang w:eastAsia="hr-HR"/>
        </w:rPr>
      </w:pPr>
    </w:p>
    <w:p w:rsidR="000A6DC7" w:rsidRPr="002B6238" w:rsidRDefault="000A6DC7" w:rsidP="000A6DC7">
      <w:pPr>
        <w:jc w:val="center"/>
        <w:rPr>
          <w:rFonts w:ascii="Arial" w:eastAsia="Calibri" w:hAnsi="Arial" w:cs="Arial"/>
          <w:szCs w:val="32"/>
        </w:rPr>
      </w:pPr>
      <w:r>
        <w:rPr>
          <w:rFonts w:ascii="Arial" w:hAnsi="Arial" w:cs="Arial"/>
        </w:rPr>
        <w:t>***</w:t>
      </w: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4A4BFC" w:rsidRDefault="00C13A86"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1505"/>
        <w:gridCol w:w="7556"/>
      </w:tblGrid>
      <w:tr w:rsidR="00C13A86" w:rsidRPr="004D5A28" w:rsidTr="00C13A86">
        <w:tc>
          <w:tcPr>
            <w:tcW w:w="1526" w:type="dxa"/>
          </w:tcPr>
          <w:p w:rsidR="00C13A86" w:rsidRPr="004D5A28" w:rsidRDefault="00C13A86" w:rsidP="00C13A86">
            <w:pPr>
              <w:pStyle w:val="Bezproreda"/>
              <w:jc w:val="center"/>
              <w:rPr>
                <w:rFonts w:ascii="Arial" w:hAnsi="Arial" w:cs="Arial"/>
                <w:noProof/>
                <w:color w:val="BFBFBF" w:themeColor="background1" w:themeShade="BF"/>
                <w:sz w:val="20"/>
                <w:szCs w:val="20"/>
                <w:lang w:eastAsia="hr-HR"/>
              </w:rPr>
            </w:pPr>
          </w:p>
          <w:p w:rsidR="00C13A86" w:rsidRPr="004D5A28" w:rsidRDefault="00C13A86" w:rsidP="00C13A86">
            <w:pPr>
              <w:pStyle w:val="Bezproreda"/>
              <w:jc w:val="center"/>
              <w:rPr>
                <w:rFonts w:ascii="Arial" w:hAnsi="Arial" w:cs="Arial"/>
                <w:color w:val="BFBFBF" w:themeColor="background1" w:themeShade="BF"/>
                <w:sz w:val="20"/>
                <w:szCs w:val="20"/>
              </w:rPr>
            </w:pPr>
            <w:r w:rsidRPr="004D5A28">
              <w:rPr>
                <w:rFonts w:ascii="Arial" w:hAnsi="Arial" w:cs="Arial"/>
                <w:noProof/>
                <w:color w:val="BFBFBF" w:themeColor="background1" w:themeShade="BF"/>
                <w:sz w:val="20"/>
                <w:szCs w:val="20"/>
              </w:rPr>
              <w:drawing>
                <wp:inline distT="0" distB="0" distL="0" distR="0" wp14:anchorId="20792E52" wp14:editId="63F2D61B">
                  <wp:extent cx="409575" cy="447675"/>
                  <wp:effectExtent l="0" t="0" r="9525" b="9525"/>
                  <wp:docPr id="19" name="Slika 19"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C13A86" w:rsidRPr="004D5A28" w:rsidRDefault="00C13A86" w:rsidP="00C13A86">
            <w:pPr>
              <w:pStyle w:val="Bezproreda"/>
              <w:jc w:val="center"/>
              <w:rPr>
                <w:rFonts w:ascii="Arial" w:hAnsi="Arial" w:cs="Arial"/>
                <w:b/>
                <w:color w:val="BFBFBF" w:themeColor="background1" w:themeShade="BF"/>
                <w:sz w:val="20"/>
                <w:szCs w:val="20"/>
              </w:rPr>
            </w:pP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REPUBLIKA HRVATSKA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ZADARSKA ŽUPANIJA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GRAD BIOGRAD NA MORU</w:t>
            </w:r>
          </w:p>
          <w:p w:rsidR="00C13A86" w:rsidRPr="004D5A28" w:rsidRDefault="00C13A86" w:rsidP="00C13A86">
            <w:pPr>
              <w:pStyle w:val="Bezproreda"/>
              <w:jc w:val="center"/>
              <w:rPr>
                <w:rFonts w:ascii="Arial" w:hAnsi="Arial" w:cs="Arial"/>
                <w:color w:val="BFBFBF" w:themeColor="background1" w:themeShade="BF"/>
                <w:sz w:val="20"/>
                <w:szCs w:val="20"/>
              </w:rPr>
            </w:pPr>
          </w:p>
        </w:tc>
      </w:tr>
    </w:tbl>
    <w:p w:rsidR="00EC7983" w:rsidRPr="004A4BFC"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4A4BFC" w:rsidRDefault="00C13A86"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4A4BFC" w:rsidRDefault="00C13A86" w:rsidP="00EC7983">
      <w:pPr>
        <w:rPr>
          <w:rFonts w:ascii="Arial" w:hAnsi="Arial" w:cs="Arial"/>
          <w:sz w:val="20"/>
          <w:szCs w:val="20"/>
        </w:rPr>
      </w:pPr>
    </w:p>
    <w:p w:rsidR="00EC7983" w:rsidRPr="004A4BFC" w:rsidRDefault="00EC7983" w:rsidP="00EC7983">
      <w:pPr>
        <w:rPr>
          <w:rFonts w:ascii="Arial" w:hAnsi="Arial" w:cs="Arial"/>
          <w:sz w:val="20"/>
          <w:szCs w:val="20"/>
        </w:rPr>
      </w:pPr>
    </w:p>
    <w:p w:rsidR="00EC7983" w:rsidRPr="004A4BFC"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89"/>
        <w:gridCol w:w="6872"/>
      </w:tblGrid>
      <w:tr w:rsidR="00EC7983" w:rsidRPr="004A4BFC"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4A4BFC" w:rsidRDefault="00EC7983" w:rsidP="00EC7983">
            <w:pPr>
              <w:pStyle w:val="Bezproreda"/>
              <w:jc w:val="center"/>
              <w:rPr>
                <w:rFonts w:ascii="Arial" w:hAnsi="Arial" w:cs="Arial"/>
                <w:b/>
                <w:sz w:val="20"/>
                <w:szCs w:val="20"/>
              </w:rPr>
            </w:pPr>
            <w:r w:rsidRPr="004A4BFC">
              <w:rPr>
                <w:rFonts w:ascii="Arial" w:hAnsi="Arial" w:cs="Arial"/>
                <w:b/>
                <w:sz w:val="20"/>
                <w:szCs w:val="20"/>
              </w:rPr>
              <w:t>Prilog: 7</w:t>
            </w:r>
          </w:p>
        </w:tc>
        <w:tc>
          <w:tcPr>
            <w:tcW w:w="7053" w:type="dxa"/>
            <w:tcBorders>
              <w:top w:val="single" w:sz="4" w:space="0" w:color="auto"/>
              <w:left w:val="single" w:sz="4" w:space="0" w:color="auto"/>
              <w:bottom w:val="single" w:sz="4" w:space="0" w:color="auto"/>
              <w:right w:val="single" w:sz="4" w:space="0" w:color="auto"/>
            </w:tcBorders>
          </w:tcPr>
          <w:p w:rsidR="00EC7983" w:rsidRPr="004A4BFC" w:rsidRDefault="00EC7983" w:rsidP="00EC7983">
            <w:pPr>
              <w:pStyle w:val="Bezproreda"/>
              <w:rPr>
                <w:rFonts w:ascii="Arial" w:hAnsi="Arial" w:cs="Arial"/>
                <w:b/>
                <w:sz w:val="20"/>
                <w:szCs w:val="20"/>
              </w:rPr>
            </w:pPr>
          </w:p>
          <w:p w:rsidR="00EC7983" w:rsidRPr="004A4BFC" w:rsidRDefault="00EC7983" w:rsidP="00EC7983">
            <w:pPr>
              <w:pStyle w:val="Bezproreda"/>
              <w:rPr>
                <w:rFonts w:ascii="Arial" w:hAnsi="Arial" w:cs="Arial"/>
                <w:b/>
                <w:sz w:val="20"/>
                <w:szCs w:val="20"/>
              </w:rPr>
            </w:pPr>
            <w:r w:rsidRPr="004A4BFC">
              <w:rPr>
                <w:rFonts w:ascii="Arial" w:hAnsi="Arial" w:cs="Arial"/>
                <w:b/>
                <w:sz w:val="20"/>
                <w:szCs w:val="20"/>
              </w:rPr>
              <w:t>GODIŠNJI IZVJEŠTAJ O IZVRŠENJU PRORAČUNA GRADA BIOGRADA NA MORU ZA 2023. GODINU</w:t>
            </w:r>
          </w:p>
          <w:p w:rsidR="00EC7983" w:rsidRPr="004A4BFC" w:rsidRDefault="00EC7983" w:rsidP="00EC7983">
            <w:pPr>
              <w:pStyle w:val="Bezproreda"/>
              <w:rPr>
                <w:rFonts w:ascii="Arial" w:hAnsi="Arial" w:cs="Arial"/>
                <w:b/>
                <w:sz w:val="20"/>
                <w:szCs w:val="20"/>
              </w:rPr>
            </w:pPr>
          </w:p>
        </w:tc>
      </w:tr>
      <w:tr w:rsidR="00EC7983" w:rsidRPr="004A4BFC" w:rsidTr="00C13A86">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4A4BFC"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b/>
                <w:sz w:val="20"/>
                <w:szCs w:val="20"/>
              </w:rPr>
            </w:pPr>
            <w:r w:rsidRPr="004A4BFC">
              <w:rPr>
                <w:rFonts w:ascii="Arial" w:hAnsi="Arial" w:cs="Arial"/>
                <w:b/>
                <w:sz w:val="20"/>
                <w:szCs w:val="20"/>
              </w:rPr>
              <w:t>Posebni dio proračuna: Izvršenje po organizacijskoj klasifikaciji</w:t>
            </w:r>
          </w:p>
          <w:p w:rsidR="00EC7983" w:rsidRPr="004A4BFC" w:rsidRDefault="00EC7983" w:rsidP="00EC7983">
            <w:pPr>
              <w:pStyle w:val="Bezproreda"/>
              <w:rPr>
                <w:rFonts w:ascii="Arial" w:hAnsi="Arial" w:cs="Arial"/>
                <w:sz w:val="20"/>
                <w:szCs w:val="20"/>
              </w:rPr>
            </w:pPr>
          </w:p>
        </w:tc>
      </w:tr>
    </w:tbl>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73"/>
        <w:gridCol w:w="2905"/>
        <w:gridCol w:w="3683"/>
      </w:tblGrid>
      <w:tr w:rsidR="00EC7983" w:rsidRPr="004A4BFC" w:rsidTr="00EC7983">
        <w:tc>
          <w:tcPr>
            <w:tcW w:w="2518" w:type="dxa"/>
            <w:tcBorders>
              <w:top w:val="single" w:sz="4" w:space="0" w:color="auto"/>
              <w:left w:val="single" w:sz="4" w:space="0" w:color="auto"/>
              <w:bottom w:val="single" w:sz="4" w:space="0" w:color="auto"/>
              <w:right w:val="single" w:sz="4" w:space="0" w:color="auto"/>
            </w:tcBorders>
          </w:tcPr>
          <w:p w:rsidR="00EC7983" w:rsidRPr="004A4BFC" w:rsidRDefault="00EC7983" w:rsidP="00EC7983">
            <w:pPr>
              <w:pStyle w:val="Bezproreda"/>
              <w:rPr>
                <w:rFonts w:ascii="Arial" w:hAnsi="Arial" w:cs="Arial"/>
                <w:sz w:val="20"/>
                <w:szCs w:val="20"/>
              </w:rPr>
            </w:pPr>
          </w:p>
          <w:p w:rsidR="00EC7983" w:rsidRPr="004A4BFC" w:rsidRDefault="00EC7983" w:rsidP="00EC7983">
            <w:pPr>
              <w:pStyle w:val="Bezproreda"/>
              <w:jc w:val="center"/>
              <w:rPr>
                <w:rFonts w:ascii="Arial" w:hAnsi="Arial" w:cs="Arial"/>
                <w:sz w:val="20"/>
                <w:szCs w:val="20"/>
              </w:rPr>
            </w:pPr>
            <w:r w:rsidRPr="004A4BFC">
              <w:rPr>
                <w:rFonts w:ascii="Arial" w:hAnsi="Arial" w:cs="Arial"/>
                <w:sz w:val="20"/>
                <w:szCs w:val="20"/>
              </w:rPr>
              <w:t>KLASA:400-01/23-04/01</w:t>
            </w:r>
          </w:p>
          <w:p w:rsidR="00EC7983" w:rsidRPr="004A4BFC" w:rsidRDefault="00EC7983" w:rsidP="00EC7983">
            <w:pPr>
              <w:pStyle w:val="Bezproreda"/>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7983" w:rsidRPr="004A4BFC" w:rsidRDefault="00EC7983" w:rsidP="00EC7983">
            <w:pPr>
              <w:pStyle w:val="Bezproreda"/>
              <w:jc w:val="center"/>
              <w:rPr>
                <w:rFonts w:ascii="Arial" w:hAnsi="Arial" w:cs="Arial"/>
                <w:sz w:val="20"/>
                <w:szCs w:val="20"/>
              </w:rPr>
            </w:pPr>
          </w:p>
          <w:p w:rsidR="00EC7983" w:rsidRPr="004A4BFC" w:rsidRDefault="00EC7983" w:rsidP="00EC7983">
            <w:pPr>
              <w:pStyle w:val="Bezproreda"/>
              <w:jc w:val="center"/>
              <w:rPr>
                <w:rFonts w:ascii="Arial" w:hAnsi="Arial" w:cs="Arial"/>
                <w:sz w:val="20"/>
                <w:szCs w:val="20"/>
              </w:rPr>
            </w:pPr>
            <w:r w:rsidRPr="004A4BFC">
              <w:rPr>
                <w:rFonts w:ascii="Arial" w:hAnsi="Arial" w:cs="Arial"/>
                <w:sz w:val="20"/>
                <w:szCs w:val="20"/>
              </w:rPr>
              <w:t>URBROJ: 2198-16-01-23-2</w:t>
            </w:r>
          </w:p>
        </w:tc>
        <w:tc>
          <w:tcPr>
            <w:tcW w:w="3793" w:type="dxa"/>
            <w:tcBorders>
              <w:top w:val="single" w:sz="4" w:space="0" w:color="auto"/>
              <w:left w:val="single" w:sz="4" w:space="0" w:color="auto"/>
              <w:bottom w:val="single" w:sz="4" w:space="0" w:color="auto"/>
              <w:right w:val="single" w:sz="4" w:space="0" w:color="auto"/>
            </w:tcBorders>
          </w:tcPr>
          <w:p w:rsidR="00EC7983" w:rsidRPr="004A4BFC" w:rsidRDefault="00EC7983" w:rsidP="00EC7983">
            <w:pPr>
              <w:pStyle w:val="Bezproreda"/>
              <w:jc w:val="center"/>
              <w:rPr>
                <w:rFonts w:ascii="Arial" w:hAnsi="Arial" w:cs="Arial"/>
                <w:sz w:val="20"/>
                <w:szCs w:val="20"/>
                <w:highlight w:val="yellow"/>
              </w:rPr>
            </w:pPr>
          </w:p>
          <w:p w:rsidR="00EC7983" w:rsidRPr="004A4BFC" w:rsidRDefault="00EC7983" w:rsidP="00EC7983">
            <w:pPr>
              <w:pStyle w:val="Bezproreda"/>
              <w:jc w:val="center"/>
              <w:rPr>
                <w:rFonts w:ascii="Arial" w:hAnsi="Arial" w:cs="Arial"/>
                <w:sz w:val="20"/>
                <w:szCs w:val="20"/>
                <w:highlight w:val="yellow"/>
              </w:rPr>
            </w:pPr>
            <w:r w:rsidRPr="004A4BFC">
              <w:rPr>
                <w:rFonts w:ascii="Arial" w:hAnsi="Arial" w:cs="Arial"/>
                <w:sz w:val="20"/>
                <w:szCs w:val="20"/>
              </w:rPr>
              <w:t>Biograd na Moru, 18. travnja 2023.</w:t>
            </w:r>
          </w:p>
        </w:tc>
      </w:tr>
    </w:tbl>
    <w:p w:rsidR="00EC7983" w:rsidRPr="004A4BFC" w:rsidRDefault="00EC7983" w:rsidP="00EC7983">
      <w:pPr>
        <w:rPr>
          <w:rFonts w:ascii="Arial" w:hAnsi="Arial" w:cs="Arial"/>
          <w:sz w:val="20"/>
          <w:szCs w:val="20"/>
        </w:rPr>
      </w:pPr>
    </w:p>
    <w:p w:rsidR="000A6DC7" w:rsidRDefault="000A6DC7" w:rsidP="009E64C9">
      <w:pPr>
        <w:jc w:val="center"/>
        <w:rPr>
          <w:rFonts w:ascii="Arial" w:hAnsi="Arial" w:cs="Arial"/>
          <w:sz w:val="22"/>
          <w:szCs w:val="22"/>
          <w:lang w:eastAsia="hr-HR"/>
        </w:rPr>
      </w:pPr>
    </w:p>
    <w:tbl>
      <w:tblPr>
        <w:tblW w:w="9956" w:type="dxa"/>
        <w:jc w:val="center"/>
        <w:tblLook w:val="04A0" w:firstRow="1" w:lastRow="0" w:firstColumn="1" w:lastColumn="0" w:noHBand="0" w:noVBand="1"/>
      </w:tblPr>
      <w:tblGrid>
        <w:gridCol w:w="917"/>
        <w:gridCol w:w="773"/>
        <w:gridCol w:w="4122"/>
        <w:gridCol w:w="1642"/>
        <w:gridCol w:w="1496"/>
        <w:gridCol w:w="1006"/>
      </w:tblGrid>
      <w:tr w:rsidR="009F782F" w:rsidTr="009F782F">
        <w:trPr>
          <w:trHeight w:val="348"/>
          <w:jc w:val="center"/>
        </w:trPr>
        <w:tc>
          <w:tcPr>
            <w:tcW w:w="9956" w:type="dxa"/>
            <w:gridSpan w:val="6"/>
            <w:tcBorders>
              <w:top w:val="nil"/>
              <w:left w:val="nil"/>
              <w:bottom w:val="nil"/>
              <w:right w:val="nil"/>
            </w:tcBorders>
            <w:shd w:val="clear" w:color="auto" w:fill="auto"/>
            <w:noWrap/>
            <w:vAlign w:val="bottom"/>
            <w:hideMark/>
          </w:tcPr>
          <w:p w:rsidR="009F782F" w:rsidRDefault="009F782F">
            <w:pPr>
              <w:jc w:val="center"/>
              <w:rPr>
                <w:rFonts w:ascii="Arial" w:hAnsi="Arial" w:cs="Arial"/>
                <w:b/>
                <w:bCs/>
                <w:lang w:eastAsia="hr-HR"/>
              </w:rPr>
            </w:pPr>
            <w:r>
              <w:rPr>
                <w:rFonts w:ascii="Arial" w:hAnsi="Arial" w:cs="Arial"/>
                <w:b/>
                <w:bCs/>
              </w:rPr>
              <w:lastRenderedPageBreak/>
              <w:t>Izvršenje po organizacijskoj klasifikaciji</w:t>
            </w:r>
          </w:p>
        </w:tc>
      </w:tr>
      <w:tr w:rsidR="009F782F" w:rsidTr="009F782F">
        <w:trPr>
          <w:trHeight w:val="264"/>
          <w:jc w:val="center"/>
        </w:trPr>
        <w:tc>
          <w:tcPr>
            <w:tcW w:w="9956" w:type="dxa"/>
            <w:gridSpan w:val="6"/>
            <w:tcBorders>
              <w:top w:val="nil"/>
              <w:left w:val="nil"/>
              <w:bottom w:val="nil"/>
              <w:right w:val="nil"/>
            </w:tcBorders>
            <w:shd w:val="clear" w:color="auto" w:fill="auto"/>
            <w:noWrap/>
            <w:vAlign w:val="bottom"/>
            <w:hideMark/>
          </w:tcPr>
          <w:p w:rsidR="009F782F" w:rsidRDefault="009F782F">
            <w:pPr>
              <w:jc w:val="center"/>
              <w:rPr>
                <w:rFonts w:ascii="Arial" w:hAnsi="Arial" w:cs="Arial"/>
                <w:sz w:val="20"/>
                <w:szCs w:val="20"/>
              </w:rPr>
            </w:pPr>
            <w:r>
              <w:rPr>
                <w:rFonts w:ascii="Arial" w:hAnsi="Arial" w:cs="Arial"/>
                <w:sz w:val="20"/>
                <w:szCs w:val="20"/>
              </w:rPr>
              <w:t>Za razdoblje od 01.01.2022. do 31.12.2022.</w:t>
            </w:r>
          </w:p>
        </w:tc>
      </w:tr>
      <w:tr w:rsidR="009F782F" w:rsidTr="009F782F">
        <w:trPr>
          <w:trHeight w:val="264"/>
          <w:jc w:val="center"/>
        </w:trPr>
        <w:tc>
          <w:tcPr>
            <w:tcW w:w="9956" w:type="dxa"/>
            <w:gridSpan w:val="6"/>
            <w:tcBorders>
              <w:top w:val="nil"/>
              <w:left w:val="nil"/>
              <w:bottom w:val="nil"/>
              <w:right w:val="nil"/>
            </w:tcBorders>
            <w:shd w:val="clear" w:color="auto" w:fill="auto"/>
            <w:noWrap/>
            <w:vAlign w:val="bottom"/>
            <w:hideMark/>
          </w:tcPr>
          <w:p w:rsidR="009F782F" w:rsidRDefault="009F782F">
            <w:pPr>
              <w:jc w:val="center"/>
              <w:rPr>
                <w:rFonts w:ascii="Arial" w:hAnsi="Arial" w:cs="Arial"/>
                <w:sz w:val="20"/>
                <w:szCs w:val="20"/>
              </w:rPr>
            </w:pPr>
          </w:p>
        </w:tc>
      </w:tr>
      <w:tr w:rsidR="009F782F" w:rsidTr="009F782F">
        <w:trPr>
          <w:trHeight w:val="264"/>
          <w:jc w:val="center"/>
        </w:trPr>
        <w:tc>
          <w:tcPr>
            <w:tcW w:w="1690" w:type="dxa"/>
            <w:gridSpan w:val="2"/>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RGP</w:t>
            </w:r>
          </w:p>
        </w:tc>
        <w:tc>
          <w:tcPr>
            <w:tcW w:w="4122"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Opis</w:t>
            </w:r>
          </w:p>
        </w:tc>
        <w:tc>
          <w:tcPr>
            <w:tcW w:w="1642"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Izvorni plan 2022</w:t>
            </w:r>
          </w:p>
        </w:tc>
        <w:tc>
          <w:tcPr>
            <w:tcW w:w="1496"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Izvršenje 2022</w:t>
            </w:r>
          </w:p>
        </w:tc>
        <w:tc>
          <w:tcPr>
            <w:tcW w:w="1006"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Indeks 2/1</w:t>
            </w:r>
          </w:p>
        </w:tc>
      </w:tr>
      <w:tr w:rsidR="009F782F" w:rsidTr="009F782F">
        <w:trPr>
          <w:trHeight w:val="264"/>
          <w:jc w:val="center"/>
        </w:trPr>
        <w:tc>
          <w:tcPr>
            <w:tcW w:w="1690" w:type="dxa"/>
            <w:gridSpan w:val="2"/>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 </w:t>
            </w:r>
          </w:p>
        </w:tc>
        <w:tc>
          <w:tcPr>
            <w:tcW w:w="4122"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 </w:t>
            </w:r>
          </w:p>
        </w:tc>
        <w:tc>
          <w:tcPr>
            <w:tcW w:w="1642"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1</w:t>
            </w:r>
          </w:p>
        </w:tc>
        <w:tc>
          <w:tcPr>
            <w:tcW w:w="1496"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2</w:t>
            </w:r>
          </w:p>
        </w:tc>
        <w:tc>
          <w:tcPr>
            <w:tcW w:w="1006" w:type="dxa"/>
            <w:tcBorders>
              <w:top w:val="nil"/>
              <w:left w:val="nil"/>
              <w:bottom w:val="nil"/>
              <w:right w:val="nil"/>
            </w:tcBorders>
            <w:shd w:val="clear" w:color="000000" w:fill="969696"/>
            <w:noWrap/>
            <w:vAlign w:val="bottom"/>
            <w:hideMark/>
          </w:tcPr>
          <w:p w:rsidR="009F782F" w:rsidRDefault="009F782F">
            <w:pPr>
              <w:jc w:val="center"/>
              <w:rPr>
                <w:rFonts w:ascii="Arial" w:hAnsi="Arial" w:cs="Arial"/>
                <w:b/>
                <w:bCs/>
                <w:sz w:val="20"/>
                <w:szCs w:val="20"/>
              </w:rPr>
            </w:pPr>
            <w:r>
              <w:rPr>
                <w:rFonts w:ascii="Arial" w:hAnsi="Arial" w:cs="Arial"/>
                <w:b/>
                <w:bCs/>
                <w:sz w:val="20"/>
                <w:szCs w:val="20"/>
              </w:rPr>
              <w:t>3</w:t>
            </w:r>
          </w:p>
        </w:tc>
      </w:tr>
      <w:tr w:rsidR="009F782F" w:rsidTr="009F782F">
        <w:trPr>
          <w:trHeight w:val="264"/>
          <w:jc w:val="center"/>
        </w:trPr>
        <w:tc>
          <w:tcPr>
            <w:tcW w:w="1690" w:type="dxa"/>
            <w:gridSpan w:val="2"/>
            <w:tcBorders>
              <w:top w:val="nil"/>
              <w:left w:val="nil"/>
              <w:bottom w:val="nil"/>
              <w:right w:val="nil"/>
            </w:tcBorders>
            <w:shd w:val="clear" w:color="000000" w:fill="C0C0C0"/>
            <w:noWrap/>
            <w:vAlign w:val="bottom"/>
            <w:hideMark/>
          </w:tcPr>
          <w:p w:rsidR="009F782F" w:rsidRDefault="009F782F">
            <w:pPr>
              <w:rPr>
                <w:rFonts w:ascii="Arial" w:hAnsi="Arial" w:cs="Arial"/>
                <w:b/>
                <w:bCs/>
                <w:sz w:val="20"/>
                <w:szCs w:val="20"/>
              </w:rPr>
            </w:pPr>
            <w:r>
              <w:rPr>
                <w:rFonts w:ascii="Arial" w:hAnsi="Arial" w:cs="Arial"/>
                <w:b/>
                <w:bCs/>
                <w:sz w:val="20"/>
                <w:szCs w:val="20"/>
              </w:rPr>
              <w:t> </w:t>
            </w:r>
          </w:p>
        </w:tc>
        <w:tc>
          <w:tcPr>
            <w:tcW w:w="4122" w:type="dxa"/>
            <w:tcBorders>
              <w:top w:val="nil"/>
              <w:left w:val="nil"/>
              <w:bottom w:val="nil"/>
              <w:right w:val="nil"/>
            </w:tcBorders>
            <w:shd w:val="clear" w:color="000000" w:fill="C0C0C0"/>
            <w:noWrap/>
            <w:vAlign w:val="bottom"/>
            <w:hideMark/>
          </w:tcPr>
          <w:p w:rsidR="009F782F" w:rsidRDefault="009F782F">
            <w:pPr>
              <w:rPr>
                <w:rFonts w:ascii="Arial" w:hAnsi="Arial" w:cs="Arial"/>
                <w:b/>
                <w:bCs/>
                <w:sz w:val="20"/>
                <w:szCs w:val="20"/>
              </w:rPr>
            </w:pPr>
            <w:r>
              <w:rPr>
                <w:rFonts w:ascii="Arial" w:hAnsi="Arial" w:cs="Arial"/>
                <w:b/>
                <w:bCs/>
                <w:sz w:val="20"/>
                <w:szCs w:val="20"/>
              </w:rPr>
              <w:t>UKUPNO RASHODI I IZDATCI</w:t>
            </w:r>
          </w:p>
        </w:tc>
        <w:tc>
          <w:tcPr>
            <w:tcW w:w="1642" w:type="dxa"/>
            <w:tcBorders>
              <w:top w:val="nil"/>
              <w:left w:val="nil"/>
              <w:bottom w:val="nil"/>
              <w:right w:val="nil"/>
            </w:tcBorders>
            <w:shd w:val="clear" w:color="000000" w:fill="C0C0C0"/>
            <w:noWrap/>
            <w:vAlign w:val="bottom"/>
            <w:hideMark/>
          </w:tcPr>
          <w:p w:rsidR="009F782F" w:rsidRDefault="009F782F">
            <w:pPr>
              <w:jc w:val="right"/>
              <w:rPr>
                <w:rFonts w:ascii="Arial" w:hAnsi="Arial" w:cs="Arial"/>
                <w:b/>
                <w:bCs/>
                <w:sz w:val="20"/>
                <w:szCs w:val="20"/>
              </w:rPr>
            </w:pPr>
            <w:r>
              <w:rPr>
                <w:rFonts w:ascii="Arial" w:hAnsi="Arial" w:cs="Arial"/>
                <w:b/>
                <w:bCs/>
                <w:sz w:val="20"/>
                <w:szCs w:val="20"/>
              </w:rPr>
              <w:t>87.508.326,00</w:t>
            </w:r>
          </w:p>
        </w:tc>
        <w:tc>
          <w:tcPr>
            <w:tcW w:w="1496" w:type="dxa"/>
            <w:tcBorders>
              <w:top w:val="nil"/>
              <w:left w:val="nil"/>
              <w:bottom w:val="nil"/>
              <w:right w:val="nil"/>
            </w:tcBorders>
            <w:shd w:val="clear" w:color="000000" w:fill="C0C0C0"/>
            <w:noWrap/>
            <w:vAlign w:val="bottom"/>
            <w:hideMark/>
          </w:tcPr>
          <w:p w:rsidR="009F782F" w:rsidRDefault="009F782F">
            <w:pPr>
              <w:jc w:val="right"/>
              <w:rPr>
                <w:rFonts w:ascii="Arial" w:hAnsi="Arial" w:cs="Arial"/>
                <w:b/>
                <w:bCs/>
                <w:sz w:val="20"/>
                <w:szCs w:val="20"/>
              </w:rPr>
            </w:pPr>
            <w:r>
              <w:rPr>
                <w:rFonts w:ascii="Arial" w:hAnsi="Arial" w:cs="Arial"/>
                <w:b/>
                <w:bCs/>
                <w:sz w:val="20"/>
                <w:szCs w:val="20"/>
              </w:rPr>
              <w:t>63.922.590,77</w:t>
            </w:r>
          </w:p>
        </w:tc>
        <w:tc>
          <w:tcPr>
            <w:tcW w:w="1006" w:type="dxa"/>
            <w:tcBorders>
              <w:top w:val="nil"/>
              <w:left w:val="nil"/>
              <w:bottom w:val="nil"/>
              <w:right w:val="nil"/>
            </w:tcBorders>
            <w:shd w:val="clear" w:color="000000" w:fill="C0C0C0"/>
            <w:noWrap/>
            <w:vAlign w:val="bottom"/>
            <w:hideMark/>
          </w:tcPr>
          <w:p w:rsidR="009F782F" w:rsidRDefault="009F782F">
            <w:pPr>
              <w:jc w:val="right"/>
              <w:rPr>
                <w:rFonts w:ascii="Arial" w:hAnsi="Arial" w:cs="Arial"/>
                <w:b/>
                <w:bCs/>
                <w:sz w:val="20"/>
                <w:szCs w:val="20"/>
              </w:rPr>
            </w:pPr>
            <w:r>
              <w:rPr>
                <w:rFonts w:ascii="Arial" w:hAnsi="Arial" w:cs="Arial"/>
                <w:b/>
                <w:bCs/>
                <w:sz w:val="20"/>
                <w:szCs w:val="20"/>
              </w:rPr>
              <w:t>73,05%</w:t>
            </w:r>
          </w:p>
        </w:tc>
      </w:tr>
      <w:tr w:rsidR="009F782F" w:rsidTr="009F782F">
        <w:trPr>
          <w:trHeight w:val="264"/>
          <w:jc w:val="center"/>
        </w:trPr>
        <w:tc>
          <w:tcPr>
            <w:tcW w:w="917" w:type="dxa"/>
            <w:tcBorders>
              <w:top w:val="nil"/>
              <w:left w:val="nil"/>
              <w:bottom w:val="nil"/>
              <w:right w:val="nil"/>
            </w:tcBorders>
            <w:shd w:val="clear" w:color="000000" w:fill="000080"/>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Razdjel</w:t>
            </w:r>
          </w:p>
        </w:tc>
        <w:tc>
          <w:tcPr>
            <w:tcW w:w="773" w:type="dxa"/>
            <w:tcBorders>
              <w:top w:val="nil"/>
              <w:left w:val="nil"/>
              <w:bottom w:val="nil"/>
              <w:right w:val="nil"/>
            </w:tcBorders>
            <w:shd w:val="clear" w:color="000000" w:fill="000080"/>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001</w:t>
            </w:r>
          </w:p>
        </w:tc>
        <w:tc>
          <w:tcPr>
            <w:tcW w:w="4122" w:type="dxa"/>
            <w:tcBorders>
              <w:top w:val="nil"/>
              <w:left w:val="nil"/>
              <w:bottom w:val="nil"/>
              <w:right w:val="nil"/>
            </w:tcBorders>
            <w:shd w:val="clear" w:color="000000" w:fill="000080"/>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GRADSKO VIJEĆE, GRADONAČELNIK  I  OSTALA RADNA TIJELA</w:t>
            </w:r>
          </w:p>
        </w:tc>
        <w:tc>
          <w:tcPr>
            <w:tcW w:w="1642" w:type="dxa"/>
            <w:tcBorders>
              <w:top w:val="nil"/>
              <w:left w:val="nil"/>
              <w:bottom w:val="nil"/>
              <w:right w:val="nil"/>
            </w:tcBorders>
            <w:shd w:val="clear" w:color="000000" w:fill="000080"/>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64.429.298,00</w:t>
            </w:r>
          </w:p>
        </w:tc>
        <w:tc>
          <w:tcPr>
            <w:tcW w:w="1496" w:type="dxa"/>
            <w:tcBorders>
              <w:top w:val="nil"/>
              <w:left w:val="nil"/>
              <w:bottom w:val="nil"/>
              <w:right w:val="nil"/>
            </w:tcBorders>
            <w:shd w:val="clear" w:color="000000" w:fill="000080"/>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42.357.557,65</w:t>
            </w:r>
          </w:p>
        </w:tc>
        <w:tc>
          <w:tcPr>
            <w:tcW w:w="1006" w:type="dxa"/>
            <w:tcBorders>
              <w:top w:val="nil"/>
              <w:left w:val="nil"/>
              <w:bottom w:val="nil"/>
              <w:right w:val="nil"/>
            </w:tcBorders>
            <w:shd w:val="clear" w:color="000000" w:fill="000080"/>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65,74%</w:t>
            </w:r>
          </w:p>
        </w:tc>
      </w:tr>
      <w:tr w:rsidR="009F782F" w:rsidTr="009F782F">
        <w:trPr>
          <w:trHeight w:val="264"/>
          <w:jc w:val="center"/>
        </w:trPr>
        <w:tc>
          <w:tcPr>
            <w:tcW w:w="917" w:type="dxa"/>
            <w:tcBorders>
              <w:top w:val="nil"/>
              <w:left w:val="nil"/>
              <w:bottom w:val="nil"/>
              <w:right w:val="nil"/>
            </w:tcBorders>
            <w:shd w:val="clear" w:color="000000" w:fill="000080"/>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Razdjel</w:t>
            </w:r>
          </w:p>
        </w:tc>
        <w:tc>
          <w:tcPr>
            <w:tcW w:w="773" w:type="dxa"/>
            <w:tcBorders>
              <w:top w:val="nil"/>
              <w:left w:val="nil"/>
              <w:bottom w:val="nil"/>
              <w:right w:val="nil"/>
            </w:tcBorders>
            <w:shd w:val="clear" w:color="000000" w:fill="000080"/>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002</w:t>
            </w:r>
          </w:p>
        </w:tc>
        <w:tc>
          <w:tcPr>
            <w:tcW w:w="4122" w:type="dxa"/>
            <w:tcBorders>
              <w:top w:val="nil"/>
              <w:left w:val="nil"/>
              <w:bottom w:val="nil"/>
              <w:right w:val="nil"/>
            </w:tcBorders>
            <w:shd w:val="clear" w:color="000000" w:fill="000080"/>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JEDINSTVENI UPRAVNI ODJEL</w:t>
            </w:r>
          </w:p>
        </w:tc>
        <w:tc>
          <w:tcPr>
            <w:tcW w:w="1642" w:type="dxa"/>
            <w:tcBorders>
              <w:top w:val="nil"/>
              <w:left w:val="nil"/>
              <w:bottom w:val="nil"/>
              <w:right w:val="nil"/>
            </w:tcBorders>
            <w:shd w:val="clear" w:color="000000" w:fill="000080"/>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23.079.028,00</w:t>
            </w:r>
          </w:p>
        </w:tc>
        <w:tc>
          <w:tcPr>
            <w:tcW w:w="1496" w:type="dxa"/>
            <w:tcBorders>
              <w:top w:val="nil"/>
              <w:left w:val="nil"/>
              <w:bottom w:val="nil"/>
              <w:right w:val="nil"/>
            </w:tcBorders>
            <w:shd w:val="clear" w:color="000000" w:fill="000080"/>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21.565.033,12</w:t>
            </w:r>
          </w:p>
        </w:tc>
        <w:tc>
          <w:tcPr>
            <w:tcW w:w="1006" w:type="dxa"/>
            <w:tcBorders>
              <w:top w:val="nil"/>
              <w:left w:val="nil"/>
              <w:bottom w:val="nil"/>
              <w:right w:val="nil"/>
            </w:tcBorders>
            <w:shd w:val="clear" w:color="000000" w:fill="000080"/>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93,44%</w:t>
            </w:r>
          </w:p>
        </w:tc>
      </w:tr>
      <w:tr w:rsidR="009F782F" w:rsidTr="009F782F">
        <w:trPr>
          <w:trHeight w:val="264"/>
          <w:jc w:val="center"/>
        </w:trPr>
        <w:tc>
          <w:tcPr>
            <w:tcW w:w="917"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Glava</w:t>
            </w:r>
          </w:p>
        </w:tc>
        <w:tc>
          <w:tcPr>
            <w:tcW w:w="773"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00200</w:t>
            </w:r>
          </w:p>
        </w:tc>
        <w:tc>
          <w:tcPr>
            <w:tcW w:w="4122"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JEDINSTVENI UPRAVNI ODJEL</w:t>
            </w:r>
          </w:p>
        </w:tc>
        <w:tc>
          <w:tcPr>
            <w:tcW w:w="1642"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9.244.000,00</w:t>
            </w:r>
          </w:p>
        </w:tc>
        <w:tc>
          <w:tcPr>
            <w:tcW w:w="149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8.367.719,35</w:t>
            </w:r>
          </w:p>
        </w:tc>
        <w:tc>
          <w:tcPr>
            <w:tcW w:w="100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90,52%</w:t>
            </w:r>
          </w:p>
        </w:tc>
      </w:tr>
      <w:tr w:rsidR="009F782F" w:rsidTr="009F782F">
        <w:trPr>
          <w:trHeight w:val="264"/>
          <w:jc w:val="center"/>
        </w:trPr>
        <w:tc>
          <w:tcPr>
            <w:tcW w:w="917"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Glava</w:t>
            </w:r>
          </w:p>
        </w:tc>
        <w:tc>
          <w:tcPr>
            <w:tcW w:w="773"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00201</w:t>
            </w:r>
          </w:p>
        </w:tc>
        <w:tc>
          <w:tcPr>
            <w:tcW w:w="4122"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KNJIŽNICE</w:t>
            </w:r>
          </w:p>
        </w:tc>
        <w:tc>
          <w:tcPr>
            <w:tcW w:w="1642"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1.367.628,00</w:t>
            </w:r>
          </w:p>
        </w:tc>
        <w:tc>
          <w:tcPr>
            <w:tcW w:w="149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1.453.223,81</w:t>
            </w:r>
          </w:p>
        </w:tc>
        <w:tc>
          <w:tcPr>
            <w:tcW w:w="100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106,26%</w:t>
            </w:r>
          </w:p>
        </w:tc>
      </w:tr>
      <w:tr w:rsidR="009F782F" w:rsidTr="009F782F">
        <w:trPr>
          <w:trHeight w:val="264"/>
          <w:jc w:val="center"/>
        </w:trPr>
        <w:tc>
          <w:tcPr>
            <w:tcW w:w="917"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Glava</w:t>
            </w:r>
          </w:p>
        </w:tc>
        <w:tc>
          <w:tcPr>
            <w:tcW w:w="773"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00202</w:t>
            </w:r>
          </w:p>
        </w:tc>
        <w:tc>
          <w:tcPr>
            <w:tcW w:w="4122"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MUZEJI</w:t>
            </w:r>
          </w:p>
        </w:tc>
        <w:tc>
          <w:tcPr>
            <w:tcW w:w="1642"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884.380,00</w:t>
            </w:r>
          </w:p>
        </w:tc>
        <w:tc>
          <w:tcPr>
            <w:tcW w:w="149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680.236,50</w:t>
            </w:r>
          </w:p>
        </w:tc>
        <w:tc>
          <w:tcPr>
            <w:tcW w:w="100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76,92%</w:t>
            </w:r>
          </w:p>
        </w:tc>
      </w:tr>
      <w:tr w:rsidR="009F782F" w:rsidTr="009F782F">
        <w:trPr>
          <w:trHeight w:val="264"/>
          <w:jc w:val="center"/>
        </w:trPr>
        <w:tc>
          <w:tcPr>
            <w:tcW w:w="917"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Glava</w:t>
            </w:r>
          </w:p>
        </w:tc>
        <w:tc>
          <w:tcPr>
            <w:tcW w:w="773"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00204</w:t>
            </w:r>
          </w:p>
        </w:tc>
        <w:tc>
          <w:tcPr>
            <w:tcW w:w="4122"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VRTIĆI</w:t>
            </w:r>
          </w:p>
        </w:tc>
        <w:tc>
          <w:tcPr>
            <w:tcW w:w="1642"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6.892.020,00</w:t>
            </w:r>
          </w:p>
        </w:tc>
        <w:tc>
          <w:tcPr>
            <w:tcW w:w="149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6.539.626,96</w:t>
            </w:r>
          </w:p>
        </w:tc>
        <w:tc>
          <w:tcPr>
            <w:tcW w:w="100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94,89%</w:t>
            </w:r>
          </w:p>
        </w:tc>
      </w:tr>
      <w:tr w:rsidR="009F782F" w:rsidTr="009F782F">
        <w:trPr>
          <w:trHeight w:val="264"/>
          <w:jc w:val="center"/>
        </w:trPr>
        <w:tc>
          <w:tcPr>
            <w:tcW w:w="917"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Glava</w:t>
            </w:r>
          </w:p>
        </w:tc>
        <w:tc>
          <w:tcPr>
            <w:tcW w:w="773"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00205</w:t>
            </w:r>
          </w:p>
        </w:tc>
        <w:tc>
          <w:tcPr>
            <w:tcW w:w="4122" w:type="dxa"/>
            <w:tcBorders>
              <w:top w:val="nil"/>
              <w:left w:val="nil"/>
              <w:bottom w:val="nil"/>
              <w:right w:val="nil"/>
            </w:tcBorders>
            <w:shd w:val="clear" w:color="000000" w:fill="0000FF"/>
            <w:noWrap/>
            <w:vAlign w:val="bottom"/>
            <w:hideMark/>
          </w:tcPr>
          <w:p w:rsidR="009F782F" w:rsidRDefault="009F782F">
            <w:pPr>
              <w:rPr>
                <w:rFonts w:ascii="Arial" w:hAnsi="Arial" w:cs="Arial"/>
                <w:b/>
                <w:bCs/>
                <w:color w:val="FFFFFF"/>
                <w:sz w:val="20"/>
                <w:szCs w:val="20"/>
              </w:rPr>
            </w:pPr>
            <w:r>
              <w:rPr>
                <w:rFonts w:ascii="Arial" w:hAnsi="Arial" w:cs="Arial"/>
                <w:b/>
                <w:bCs/>
                <w:color w:val="FFFFFF"/>
                <w:sz w:val="20"/>
                <w:szCs w:val="20"/>
              </w:rPr>
              <w:t>VATROGASTVO</w:t>
            </w:r>
          </w:p>
        </w:tc>
        <w:tc>
          <w:tcPr>
            <w:tcW w:w="1642"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4.691.000,00</w:t>
            </w:r>
          </w:p>
        </w:tc>
        <w:tc>
          <w:tcPr>
            <w:tcW w:w="149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4.524.226,50</w:t>
            </w:r>
          </w:p>
        </w:tc>
        <w:tc>
          <w:tcPr>
            <w:tcW w:w="1006" w:type="dxa"/>
            <w:tcBorders>
              <w:top w:val="nil"/>
              <w:left w:val="nil"/>
              <w:bottom w:val="nil"/>
              <w:right w:val="nil"/>
            </w:tcBorders>
            <w:shd w:val="clear" w:color="000000" w:fill="0000FF"/>
            <w:noWrap/>
            <w:vAlign w:val="bottom"/>
            <w:hideMark/>
          </w:tcPr>
          <w:p w:rsidR="009F782F" w:rsidRDefault="009F782F">
            <w:pPr>
              <w:jc w:val="right"/>
              <w:rPr>
                <w:rFonts w:ascii="Arial" w:hAnsi="Arial" w:cs="Arial"/>
                <w:b/>
                <w:bCs/>
                <w:color w:val="FFFFFF"/>
                <w:sz w:val="20"/>
                <w:szCs w:val="20"/>
              </w:rPr>
            </w:pPr>
            <w:r>
              <w:rPr>
                <w:rFonts w:ascii="Arial" w:hAnsi="Arial" w:cs="Arial"/>
                <w:b/>
                <w:bCs/>
                <w:color w:val="FFFFFF"/>
                <w:sz w:val="20"/>
                <w:szCs w:val="20"/>
              </w:rPr>
              <w:t>96,44%</w:t>
            </w:r>
          </w:p>
        </w:tc>
      </w:tr>
    </w:tbl>
    <w:p w:rsidR="00C13A86" w:rsidRDefault="00C13A86" w:rsidP="009E64C9">
      <w:pPr>
        <w:jc w:val="center"/>
        <w:rPr>
          <w:rFonts w:ascii="Arial" w:hAnsi="Arial" w:cs="Arial"/>
          <w:sz w:val="22"/>
          <w:szCs w:val="22"/>
          <w:lang w:eastAsia="hr-HR"/>
        </w:rPr>
      </w:pPr>
    </w:p>
    <w:p w:rsidR="000A6DC7" w:rsidRDefault="000A6DC7" w:rsidP="000A6DC7">
      <w:pPr>
        <w:jc w:val="center"/>
        <w:rPr>
          <w:rFonts w:ascii="Arial" w:hAnsi="Arial" w:cs="Arial"/>
        </w:rPr>
      </w:pPr>
      <w:r>
        <w:rPr>
          <w:rFonts w:ascii="Arial" w:hAnsi="Arial" w:cs="Arial"/>
        </w:rPr>
        <w:t>***</w:t>
      </w: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Default="009F782F" w:rsidP="000A6DC7">
      <w:pPr>
        <w:jc w:val="center"/>
        <w:rPr>
          <w:rFonts w:ascii="Arial" w:hAnsi="Arial" w:cs="Arial"/>
        </w:rPr>
      </w:pPr>
    </w:p>
    <w:p w:rsidR="009F782F" w:rsidRPr="002B6238" w:rsidRDefault="009F782F" w:rsidP="000A6DC7">
      <w:pPr>
        <w:jc w:val="center"/>
        <w:rPr>
          <w:rFonts w:ascii="Arial" w:eastAsia="Calibri" w:hAnsi="Arial" w:cs="Arial"/>
          <w:szCs w:val="32"/>
        </w:rPr>
      </w:pPr>
    </w:p>
    <w:p w:rsidR="00EC7983" w:rsidRPr="00645898"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1505"/>
        <w:gridCol w:w="7556"/>
      </w:tblGrid>
      <w:tr w:rsidR="00C13A86" w:rsidRPr="004D5A28" w:rsidTr="00C13A86">
        <w:tc>
          <w:tcPr>
            <w:tcW w:w="1526" w:type="dxa"/>
          </w:tcPr>
          <w:p w:rsidR="00C13A86" w:rsidRPr="004D5A28" w:rsidRDefault="00C13A86" w:rsidP="00C13A86">
            <w:pPr>
              <w:pStyle w:val="Bezproreda"/>
              <w:jc w:val="center"/>
              <w:rPr>
                <w:rFonts w:ascii="Arial" w:hAnsi="Arial" w:cs="Arial"/>
                <w:noProof/>
                <w:color w:val="BFBFBF" w:themeColor="background1" w:themeShade="BF"/>
                <w:sz w:val="20"/>
                <w:szCs w:val="20"/>
                <w:lang w:eastAsia="hr-HR"/>
              </w:rPr>
            </w:pPr>
          </w:p>
          <w:p w:rsidR="00C13A86" w:rsidRPr="004D5A28" w:rsidRDefault="00C13A86" w:rsidP="00C13A86">
            <w:pPr>
              <w:pStyle w:val="Bezproreda"/>
              <w:jc w:val="center"/>
              <w:rPr>
                <w:rFonts w:ascii="Arial" w:hAnsi="Arial" w:cs="Arial"/>
                <w:color w:val="BFBFBF" w:themeColor="background1" w:themeShade="BF"/>
                <w:sz w:val="20"/>
                <w:szCs w:val="20"/>
              </w:rPr>
            </w:pPr>
            <w:r w:rsidRPr="004D5A28">
              <w:rPr>
                <w:rFonts w:ascii="Arial" w:hAnsi="Arial" w:cs="Arial"/>
                <w:noProof/>
                <w:color w:val="BFBFBF" w:themeColor="background1" w:themeShade="BF"/>
                <w:sz w:val="20"/>
                <w:szCs w:val="20"/>
              </w:rPr>
              <w:drawing>
                <wp:inline distT="0" distB="0" distL="0" distR="0" wp14:anchorId="20792E52" wp14:editId="63F2D61B">
                  <wp:extent cx="409575" cy="447675"/>
                  <wp:effectExtent l="0" t="0" r="9525" b="9525"/>
                  <wp:docPr id="20" name="Slika 20"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C13A86" w:rsidRPr="004D5A28" w:rsidRDefault="00C13A86" w:rsidP="00C13A86">
            <w:pPr>
              <w:pStyle w:val="Bezproreda"/>
              <w:jc w:val="center"/>
              <w:rPr>
                <w:rFonts w:ascii="Arial" w:hAnsi="Arial" w:cs="Arial"/>
                <w:b/>
                <w:color w:val="BFBFBF" w:themeColor="background1" w:themeShade="BF"/>
                <w:sz w:val="20"/>
                <w:szCs w:val="20"/>
              </w:rPr>
            </w:pP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REPUBLIKA HRVATSKA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ZADARSKA ŽUPANIJA</w:t>
            </w:r>
          </w:p>
          <w:p w:rsidR="00C13A86" w:rsidRPr="004D5A28" w:rsidRDefault="00C13A86" w:rsidP="00C13A86">
            <w:pPr>
              <w:pStyle w:val="Bezproreda"/>
              <w:jc w:val="center"/>
              <w:rPr>
                <w:rFonts w:ascii="Arial" w:hAnsi="Arial" w:cs="Arial"/>
                <w:b/>
                <w:sz w:val="20"/>
                <w:szCs w:val="20"/>
              </w:rPr>
            </w:pPr>
            <w:r w:rsidRPr="004D5A28">
              <w:rPr>
                <w:rFonts w:ascii="Arial" w:hAnsi="Arial" w:cs="Arial"/>
                <w:b/>
                <w:sz w:val="20"/>
                <w:szCs w:val="20"/>
              </w:rPr>
              <w:t>GRAD BIOGRAD NA MORU</w:t>
            </w:r>
          </w:p>
          <w:p w:rsidR="00C13A86" w:rsidRPr="004D5A28" w:rsidRDefault="00C13A86" w:rsidP="00C13A86">
            <w:pPr>
              <w:pStyle w:val="Bezproreda"/>
              <w:jc w:val="center"/>
              <w:rPr>
                <w:rFonts w:ascii="Arial" w:hAnsi="Arial" w:cs="Arial"/>
                <w:color w:val="BFBFBF" w:themeColor="background1" w:themeShade="BF"/>
                <w:sz w:val="20"/>
                <w:szCs w:val="20"/>
              </w:rPr>
            </w:pPr>
          </w:p>
        </w:tc>
      </w:tr>
    </w:tbl>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645898" w:rsidRDefault="00C13A86" w:rsidP="00EC7983">
      <w:pPr>
        <w:rPr>
          <w:rFonts w:ascii="Arial" w:hAnsi="Arial" w:cs="Arial"/>
          <w:sz w:val="20"/>
          <w:szCs w:val="20"/>
        </w:rPr>
      </w:pPr>
    </w:p>
    <w:p w:rsidR="00EC7983" w:rsidRPr="00645898" w:rsidRDefault="00EC7983" w:rsidP="00EC7983">
      <w:pPr>
        <w:rPr>
          <w:rFonts w:ascii="Arial" w:hAnsi="Arial" w:cs="Arial"/>
          <w:sz w:val="20"/>
          <w:szCs w:val="20"/>
        </w:rPr>
      </w:pPr>
    </w:p>
    <w:p w:rsidR="00EC7983" w:rsidRPr="00645898"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645898"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645898" w:rsidRDefault="00EC7983" w:rsidP="00EC7983">
            <w:pPr>
              <w:pStyle w:val="Bezproreda"/>
              <w:jc w:val="center"/>
              <w:rPr>
                <w:rFonts w:ascii="Arial" w:hAnsi="Arial" w:cs="Arial"/>
                <w:b/>
                <w:sz w:val="20"/>
                <w:szCs w:val="20"/>
              </w:rPr>
            </w:pPr>
            <w:r w:rsidRPr="00645898">
              <w:rPr>
                <w:rFonts w:ascii="Arial" w:hAnsi="Arial" w:cs="Arial"/>
                <w:b/>
                <w:sz w:val="20"/>
                <w:szCs w:val="20"/>
              </w:rPr>
              <w:t>Prilog: 8</w:t>
            </w:r>
          </w:p>
        </w:tc>
        <w:tc>
          <w:tcPr>
            <w:tcW w:w="7053" w:type="dxa"/>
            <w:tcBorders>
              <w:top w:val="single" w:sz="4" w:space="0" w:color="auto"/>
              <w:left w:val="single" w:sz="4" w:space="0" w:color="auto"/>
              <w:bottom w:val="single" w:sz="4" w:space="0" w:color="auto"/>
              <w:right w:val="single" w:sz="4" w:space="0" w:color="auto"/>
            </w:tcBorders>
          </w:tcPr>
          <w:p w:rsidR="00EC7983" w:rsidRPr="00645898" w:rsidRDefault="00EC7983" w:rsidP="00EC7983">
            <w:pPr>
              <w:pStyle w:val="Bezproreda"/>
              <w:rPr>
                <w:rFonts w:ascii="Arial" w:hAnsi="Arial" w:cs="Arial"/>
                <w:b/>
                <w:sz w:val="20"/>
                <w:szCs w:val="20"/>
              </w:rPr>
            </w:pPr>
          </w:p>
          <w:p w:rsidR="00EC7983" w:rsidRPr="00645898" w:rsidRDefault="00EC7983" w:rsidP="00EC7983">
            <w:pPr>
              <w:pStyle w:val="Bezproreda"/>
              <w:rPr>
                <w:rFonts w:ascii="Arial" w:hAnsi="Arial" w:cs="Arial"/>
                <w:b/>
                <w:sz w:val="20"/>
                <w:szCs w:val="20"/>
              </w:rPr>
            </w:pPr>
            <w:r w:rsidRPr="00645898">
              <w:rPr>
                <w:rFonts w:ascii="Arial" w:hAnsi="Arial" w:cs="Arial"/>
                <w:b/>
                <w:sz w:val="20"/>
                <w:szCs w:val="20"/>
              </w:rPr>
              <w:t>GODIŠNJI IZVJEŠTAJ O IZVRŠENJU PRORAČUNA GRADA BIOGRADA NA MORU ZA 2022. GODINU</w:t>
            </w:r>
          </w:p>
          <w:p w:rsidR="00EC7983" w:rsidRPr="00645898" w:rsidRDefault="00EC7983" w:rsidP="00EC7983">
            <w:pPr>
              <w:pStyle w:val="Bezproreda"/>
              <w:rPr>
                <w:rFonts w:ascii="Arial" w:hAnsi="Arial" w:cs="Arial"/>
                <w:b/>
                <w:sz w:val="20"/>
                <w:szCs w:val="20"/>
              </w:rPr>
            </w:pPr>
          </w:p>
        </w:tc>
      </w:tr>
      <w:tr w:rsidR="00EC7983" w:rsidRPr="00645898" w:rsidTr="00EC7983">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645898"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b/>
                <w:sz w:val="20"/>
                <w:szCs w:val="20"/>
              </w:rPr>
            </w:pPr>
            <w:r w:rsidRPr="00645898">
              <w:rPr>
                <w:rFonts w:ascii="Arial" w:hAnsi="Arial" w:cs="Arial"/>
                <w:b/>
                <w:sz w:val="20"/>
                <w:szCs w:val="20"/>
              </w:rPr>
              <w:t>Posebni dio proračuna: Izvršenje po programskoj klasifikaciji</w:t>
            </w:r>
          </w:p>
          <w:p w:rsidR="00EC7983" w:rsidRPr="00645898" w:rsidRDefault="00EC7983" w:rsidP="00EC7983">
            <w:pPr>
              <w:pStyle w:val="Bezproreda"/>
              <w:rPr>
                <w:rFonts w:ascii="Arial" w:hAnsi="Arial" w:cs="Arial"/>
                <w:sz w:val="20"/>
                <w:szCs w:val="20"/>
              </w:rPr>
            </w:pPr>
          </w:p>
        </w:tc>
      </w:tr>
    </w:tbl>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461"/>
        <w:gridCol w:w="2910"/>
        <w:gridCol w:w="3690"/>
      </w:tblGrid>
      <w:tr w:rsidR="00EC7983" w:rsidRPr="00645898" w:rsidTr="00EC7983">
        <w:tc>
          <w:tcPr>
            <w:tcW w:w="2518" w:type="dxa"/>
            <w:tcBorders>
              <w:top w:val="single" w:sz="4" w:space="0" w:color="auto"/>
              <w:left w:val="single" w:sz="4" w:space="0" w:color="auto"/>
              <w:bottom w:val="single" w:sz="4" w:space="0" w:color="auto"/>
              <w:right w:val="single" w:sz="4" w:space="0" w:color="auto"/>
            </w:tcBorders>
          </w:tcPr>
          <w:p w:rsidR="00EC7983" w:rsidRPr="00645898" w:rsidRDefault="00EC7983" w:rsidP="00EC7983">
            <w:pPr>
              <w:pStyle w:val="Bezproreda"/>
              <w:rPr>
                <w:rFonts w:ascii="Arial" w:hAnsi="Arial" w:cs="Arial"/>
                <w:sz w:val="20"/>
                <w:szCs w:val="20"/>
              </w:rPr>
            </w:pPr>
          </w:p>
          <w:p w:rsidR="00EC7983" w:rsidRPr="00645898" w:rsidRDefault="00EC7983" w:rsidP="00EC7983">
            <w:pPr>
              <w:pStyle w:val="Bezproreda"/>
              <w:jc w:val="center"/>
              <w:rPr>
                <w:rFonts w:ascii="Arial" w:hAnsi="Arial" w:cs="Arial"/>
                <w:sz w:val="20"/>
                <w:szCs w:val="20"/>
              </w:rPr>
            </w:pPr>
            <w:r w:rsidRPr="00645898">
              <w:rPr>
                <w:rFonts w:ascii="Arial" w:hAnsi="Arial" w:cs="Arial"/>
                <w:sz w:val="20"/>
                <w:szCs w:val="20"/>
              </w:rPr>
              <w:t>KLASA: 400-01/23-04/01</w:t>
            </w:r>
          </w:p>
          <w:p w:rsidR="00EC7983" w:rsidRPr="00645898" w:rsidRDefault="00EC7983" w:rsidP="00EC7983">
            <w:pPr>
              <w:pStyle w:val="Bezproreda"/>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EC7983" w:rsidRPr="00645898" w:rsidRDefault="00EC7983" w:rsidP="00EC7983">
            <w:pPr>
              <w:pStyle w:val="Bezproreda"/>
              <w:jc w:val="center"/>
              <w:rPr>
                <w:rFonts w:ascii="Arial" w:hAnsi="Arial" w:cs="Arial"/>
                <w:sz w:val="20"/>
                <w:szCs w:val="20"/>
              </w:rPr>
            </w:pPr>
          </w:p>
          <w:p w:rsidR="00EC7983" w:rsidRPr="00645898" w:rsidRDefault="00EC7983" w:rsidP="00EC7983">
            <w:pPr>
              <w:pStyle w:val="Bezproreda"/>
              <w:jc w:val="center"/>
              <w:rPr>
                <w:rFonts w:ascii="Arial" w:hAnsi="Arial" w:cs="Arial"/>
                <w:sz w:val="20"/>
                <w:szCs w:val="20"/>
              </w:rPr>
            </w:pPr>
            <w:r w:rsidRPr="00645898">
              <w:rPr>
                <w:rFonts w:ascii="Arial" w:hAnsi="Arial" w:cs="Arial"/>
                <w:sz w:val="20"/>
                <w:szCs w:val="20"/>
              </w:rPr>
              <w:t>URBROJ: 2198-16-01-23-2</w:t>
            </w:r>
          </w:p>
        </w:tc>
        <w:tc>
          <w:tcPr>
            <w:tcW w:w="3793" w:type="dxa"/>
            <w:tcBorders>
              <w:top w:val="single" w:sz="4" w:space="0" w:color="auto"/>
              <w:left w:val="single" w:sz="4" w:space="0" w:color="auto"/>
              <w:bottom w:val="single" w:sz="4" w:space="0" w:color="auto"/>
              <w:right w:val="single" w:sz="4" w:space="0" w:color="auto"/>
            </w:tcBorders>
          </w:tcPr>
          <w:p w:rsidR="00EC7983" w:rsidRPr="00645898" w:rsidRDefault="00EC7983" w:rsidP="00EC7983">
            <w:pPr>
              <w:pStyle w:val="Bezproreda"/>
              <w:jc w:val="center"/>
              <w:rPr>
                <w:rFonts w:ascii="Arial" w:hAnsi="Arial" w:cs="Arial"/>
                <w:sz w:val="20"/>
                <w:szCs w:val="20"/>
                <w:highlight w:val="yellow"/>
              </w:rPr>
            </w:pPr>
          </w:p>
          <w:p w:rsidR="00EC7983" w:rsidRPr="00645898" w:rsidRDefault="00EC7983" w:rsidP="00EC7983">
            <w:pPr>
              <w:pStyle w:val="Bezproreda"/>
              <w:jc w:val="center"/>
              <w:rPr>
                <w:rFonts w:ascii="Arial" w:hAnsi="Arial" w:cs="Arial"/>
                <w:sz w:val="20"/>
                <w:szCs w:val="20"/>
                <w:highlight w:val="yellow"/>
              </w:rPr>
            </w:pPr>
            <w:r w:rsidRPr="00645898">
              <w:rPr>
                <w:rFonts w:ascii="Arial" w:hAnsi="Arial" w:cs="Arial"/>
                <w:sz w:val="20"/>
                <w:szCs w:val="20"/>
              </w:rPr>
              <w:t>Biograd na Moru, 18. travnja 2023.</w:t>
            </w:r>
          </w:p>
        </w:tc>
      </w:tr>
    </w:tbl>
    <w:p w:rsidR="00EC7983" w:rsidRPr="00645898" w:rsidRDefault="00EC7983" w:rsidP="00EC7983">
      <w:pPr>
        <w:rPr>
          <w:rFonts w:ascii="Arial" w:hAnsi="Arial" w:cs="Arial"/>
          <w:sz w:val="20"/>
          <w:szCs w:val="20"/>
        </w:rPr>
      </w:pPr>
    </w:p>
    <w:p w:rsidR="000A6DC7" w:rsidRDefault="000A6DC7" w:rsidP="009E64C9">
      <w:pPr>
        <w:jc w:val="center"/>
        <w:rPr>
          <w:rFonts w:ascii="Arial" w:hAnsi="Arial" w:cs="Arial"/>
          <w:sz w:val="22"/>
          <w:szCs w:val="22"/>
          <w:lang w:eastAsia="hr-HR"/>
        </w:rPr>
      </w:pPr>
    </w:p>
    <w:p w:rsidR="009F782F" w:rsidRDefault="009F782F" w:rsidP="009E64C9">
      <w:pPr>
        <w:jc w:val="center"/>
        <w:rPr>
          <w:rFonts w:ascii="Arial" w:hAnsi="Arial" w:cs="Arial"/>
          <w:sz w:val="22"/>
          <w:szCs w:val="22"/>
          <w:lang w:eastAsia="hr-HR"/>
        </w:rPr>
      </w:pPr>
    </w:p>
    <w:tbl>
      <w:tblPr>
        <w:tblW w:w="10928" w:type="dxa"/>
        <w:jc w:val="center"/>
        <w:tblLook w:val="04A0" w:firstRow="1" w:lastRow="0" w:firstColumn="1" w:lastColumn="0" w:noHBand="0" w:noVBand="1"/>
      </w:tblPr>
      <w:tblGrid>
        <w:gridCol w:w="272"/>
        <w:gridCol w:w="6107"/>
        <w:gridCol w:w="1855"/>
        <w:gridCol w:w="1567"/>
        <w:gridCol w:w="1127"/>
      </w:tblGrid>
      <w:tr w:rsidR="009F782F" w:rsidRPr="009F782F" w:rsidTr="009F782F">
        <w:trPr>
          <w:trHeight w:val="348"/>
          <w:jc w:val="center"/>
        </w:trPr>
        <w:tc>
          <w:tcPr>
            <w:tcW w:w="10928" w:type="dxa"/>
            <w:gridSpan w:val="5"/>
            <w:tcBorders>
              <w:top w:val="nil"/>
              <w:left w:val="nil"/>
              <w:bottom w:val="nil"/>
              <w:right w:val="nil"/>
            </w:tcBorders>
            <w:shd w:val="clear" w:color="auto" w:fill="auto"/>
            <w:noWrap/>
            <w:vAlign w:val="bottom"/>
            <w:hideMark/>
          </w:tcPr>
          <w:p w:rsidR="009F782F" w:rsidRPr="009F782F" w:rsidRDefault="009F782F" w:rsidP="009F782F">
            <w:pPr>
              <w:jc w:val="center"/>
              <w:rPr>
                <w:rFonts w:ascii="Arial" w:hAnsi="Arial" w:cs="Arial"/>
                <w:b/>
                <w:bCs/>
                <w:lang w:eastAsia="hr-HR"/>
              </w:rPr>
            </w:pPr>
            <w:r w:rsidRPr="009F782F">
              <w:rPr>
                <w:rFonts w:ascii="Arial" w:hAnsi="Arial" w:cs="Arial"/>
                <w:b/>
                <w:bCs/>
                <w:lang w:eastAsia="hr-HR"/>
              </w:rPr>
              <w:lastRenderedPageBreak/>
              <w:t>Izvršenje po programskoj klasifikaciji</w:t>
            </w:r>
          </w:p>
        </w:tc>
      </w:tr>
      <w:tr w:rsidR="009F782F" w:rsidRPr="009F782F" w:rsidTr="009F782F">
        <w:trPr>
          <w:trHeight w:val="264"/>
          <w:jc w:val="center"/>
        </w:trPr>
        <w:tc>
          <w:tcPr>
            <w:tcW w:w="10928" w:type="dxa"/>
            <w:gridSpan w:val="5"/>
            <w:tcBorders>
              <w:top w:val="nil"/>
              <w:left w:val="nil"/>
              <w:bottom w:val="nil"/>
              <w:right w:val="nil"/>
            </w:tcBorders>
            <w:shd w:val="clear" w:color="auto" w:fill="auto"/>
            <w:noWrap/>
            <w:vAlign w:val="bottom"/>
            <w:hideMark/>
          </w:tcPr>
          <w:p w:rsidR="009F782F" w:rsidRPr="009F782F" w:rsidRDefault="009F782F" w:rsidP="009F782F">
            <w:pPr>
              <w:jc w:val="center"/>
              <w:rPr>
                <w:rFonts w:ascii="Arial" w:hAnsi="Arial" w:cs="Arial"/>
                <w:sz w:val="20"/>
                <w:szCs w:val="20"/>
                <w:lang w:eastAsia="hr-HR"/>
              </w:rPr>
            </w:pPr>
            <w:r w:rsidRPr="009F782F">
              <w:rPr>
                <w:rFonts w:ascii="Arial" w:hAnsi="Arial" w:cs="Arial"/>
                <w:sz w:val="20"/>
                <w:szCs w:val="20"/>
                <w:lang w:eastAsia="hr-HR"/>
              </w:rPr>
              <w:t>Za razdoblje od 01.01.2022. do 31.12.2022.</w:t>
            </w:r>
          </w:p>
        </w:tc>
      </w:tr>
      <w:tr w:rsidR="009F782F" w:rsidRPr="009F782F" w:rsidTr="009F782F">
        <w:trPr>
          <w:trHeight w:val="264"/>
          <w:jc w:val="center"/>
        </w:trPr>
        <w:tc>
          <w:tcPr>
            <w:tcW w:w="10928" w:type="dxa"/>
            <w:gridSpan w:val="5"/>
            <w:tcBorders>
              <w:top w:val="nil"/>
              <w:left w:val="nil"/>
              <w:bottom w:val="nil"/>
              <w:right w:val="nil"/>
            </w:tcBorders>
            <w:shd w:val="clear" w:color="auto" w:fill="auto"/>
            <w:noWrap/>
            <w:vAlign w:val="bottom"/>
            <w:hideMark/>
          </w:tcPr>
          <w:p w:rsidR="009F782F" w:rsidRPr="009F782F" w:rsidRDefault="009F782F" w:rsidP="009F782F">
            <w:pPr>
              <w:jc w:val="center"/>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969696"/>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69696"/>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Organizacijska klasifikacija</w:t>
            </w:r>
          </w:p>
        </w:tc>
        <w:tc>
          <w:tcPr>
            <w:tcW w:w="1855"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c>
          <w:tcPr>
            <w:tcW w:w="156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c>
          <w:tcPr>
            <w:tcW w:w="112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969696"/>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69696"/>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Izvori</w:t>
            </w:r>
          </w:p>
        </w:tc>
        <w:tc>
          <w:tcPr>
            <w:tcW w:w="1855"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c>
          <w:tcPr>
            <w:tcW w:w="156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c>
          <w:tcPr>
            <w:tcW w:w="112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969696"/>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69696"/>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Projekt/Aktivnost</w:t>
            </w:r>
          </w:p>
        </w:tc>
        <w:tc>
          <w:tcPr>
            <w:tcW w:w="1855"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Izvorni plan 2022</w:t>
            </w:r>
          </w:p>
        </w:tc>
        <w:tc>
          <w:tcPr>
            <w:tcW w:w="156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Izvršenje 2022</w:t>
            </w:r>
          </w:p>
        </w:tc>
        <w:tc>
          <w:tcPr>
            <w:tcW w:w="112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Indeks 2/1</w:t>
            </w:r>
          </w:p>
        </w:tc>
      </w:tr>
      <w:tr w:rsidR="009F782F" w:rsidRPr="009F782F" w:rsidTr="009F782F">
        <w:trPr>
          <w:trHeight w:val="264"/>
          <w:jc w:val="center"/>
        </w:trPr>
        <w:tc>
          <w:tcPr>
            <w:tcW w:w="6379" w:type="dxa"/>
            <w:gridSpan w:val="2"/>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 </w:t>
            </w:r>
          </w:p>
        </w:tc>
        <w:tc>
          <w:tcPr>
            <w:tcW w:w="1855"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1</w:t>
            </w:r>
          </w:p>
        </w:tc>
        <w:tc>
          <w:tcPr>
            <w:tcW w:w="156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2</w:t>
            </w:r>
          </w:p>
        </w:tc>
        <w:tc>
          <w:tcPr>
            <w:tcW w:w="1127" w:type="dxa"/>
            <w:tcBorders>
              <w:top w:val="nil"/>
              <w:left w:val="nil"/>
              <w:bottom w:val="nil"/>
              <w:right w:val="nil"/>
            </w:tcBorders>
            <w:shd w:val="clear" w:color="000000" w:fill="969696"/>
            <w:noWrap/>
            <w:vAlign w:val="bottom"/>
            <w:hideMark/>
          </w:tcPr>
          <w:p w:rsidR="009F782F" w:rsidRPr="009F782F" w:rsidRDefault="009F782F" w:rsidP="009F782F">
            <w:pPr>
              <w:jc w:val="center"/>
              <w:rPr>
                <w:rFonts w:ascii="Arial" w:hAnsi="Arial" w:cs="Arial"/>
                <w:b/>
                <w:bCs/>
                <w:sz w:val="20"/>
                <w:szCs w:val="20"/>
                <w:lang w:eastAsia="hr-HR"/>
              </w:rPr>
            </w:pPr>
            <w:r w:rsidRPr="009F782F">
              <w:rPr>
                <w:rFonts w:ascii="Arial" w:hAnsi="Arial" w:cs="Arial"/>
                <w:b/>
                <w:bCs/>
                <w:sz w:val="20"/>
                <w:szCs w:val="20"/>
                <w:lang w:eastAsia="hr-HR"/>
              </w:rPr>
              <w:t>3</w:t>
            </w:r>
          </w:p>
        </w:tc>
      </w:tr>
      <w:tr w:rsidR="009F782F" w:rsidRPr="009F782F" w:rsidTr="009F782F">
        <w:trPr>
          <w:trHeight w:val="264"/>
          <w:jc w:val="center"/>
        </w:trPr>
        <w:tc>
          <w:tcPr>
            <w:tcW w:w="272" w:type="dxa"/>
            <w:tcBorders>
              <w:top w:val="nil"/>
              <w:left w:val="nil"/>
              <w:bottom w:val="nil"/>
              <w:right w:val="nil"/>
            </w:tcBorders>
            <w:shd w:val="clear" w:color="000000" w:fill="C0C0C0"/>
            <w:noWrap/>
            <w:vAlign w:val="bottom"/>
            <w:hideMark/>
          </w:tcPr>
          <w:p w:rsidR="009F782F" w:rsidRPr="009F782F" w:rsidRDefault="009F782F" w:rsidP="009F782F">
            <w:pPr>
              <w:rPr>
                <w:rFonts w:ascii="Arial" w:hAnsi="Arial" w:cs="Arial"/>
                <w:b/>
                <w:bCs/>
                <w:color w:val="FFFFFF"/>
                <w:sz w:val="20"/>
                <w:szCs w:val="20"/>
                <w:lang w:eastAsia="hr-HR"/>
              </w:rPr>
            </w:pPr>
            <w:r w:rsidRPr="009F782F">
              <w:rPr>
                <w:rFonts w:ascii="Arial" w:hAnsi="Arial" w:cs="Arial"/>
                <w:b/>
                <w:bCs/>
                <w:color w:val="FFFFFF"/>
                <w:sz w:val="20"/>
                <w:szCs w:val="20"/>
                <w:lang w:eastAsia="hr-HR"/>
              </w:rPr>
              <w:t> </w:t>
            </w:r>
          </w:p>
        </w:tc>
        <w:tc>
          <w:tcPr>
            <w:tcW w:w="6107" w:type="dxa"/>
            <w:tcBorders>
              <w:top w:val="nil"/>
              <w:left w:val="nil"/>
              <w:bottom w:val="nil"/>
              <w:right w:val="nil"/>
            </w:tcBorders>
            <w:shd w:val="clear" w:color="000000" w:fill="C0C0C0"/>
            <w:noWrap/>
            <w:vAlign w:val="bottom"/>
            <w:hideMark/>
          </w:tcPr>
          <w:p w:rsidR="009F782F" w:rsidRPr="009F782F" w:rsidRDefault="009F782F" w:rsidP="009F782F">
            <w:pPr>
              <w:rPr>
                <w:rFonts w:ascii="Arial" w:hAnsi="Arial" w:cs="Arial"/>
                <w:b/>
                <w:bCs/>
                <w:color w:val="FFFFFF"/>
                <w:sz w:val="20"/>
                <w:szCs w:val="20"/>
                <w:lang w:eastAsia="hr-HR"/>
              </w:rPr>
            </w:pPr>
            <w:r w:rsidRPr="009F782F">
              <w:rPr>
                <w:rFonts w:ascii="Arial" w:hAnsi="Arial" w:cs="Arial"/>
                <w:b/>
                <w:bCs/>
                <w:color w:val="FFFFFF"/>
                <w:sz w:val="20"/>
                <w:szCs w:val="20"/>
                <w:lang w:eastAsia="hr-HR"/>
              </w:rPr>
              <w:t>UKUPNO RASHODI I IZDATCI</w:t>
            </w:r>
          </w:p>
        </w:tc>
        <w:tc>
          <w:tcPr>
            <w:tcW w:w="1855" w:type="dxa"/>
            <w:tcBorders>
              <w:top w:val="nil"/>
              <w:left w:val="nil"/>
              <w:bottom w:val="nil"/>
              <w:right w:val="nil"/>
            </w:tcBorders>
            <w:shd w:val="clear" w:color="000000" w:fill="C0C0C0"/>
            <w:noWrap/>
            <w:vAlign w:val="bottom"/>
            <w:hideMark/>
          </w:tcPr>
          <w:p w:rsidR="009F782F" w:rsidRPr="009F782F" w:rsidRDefault="009F782F" w:rsidP="009F782F">
            <w:pPr>
              <w:jc w:val="right"/>
              <w:rPr>
                <w:rFonts w:ascii="Arial" w:hAnsi="Arial" w:cs="Arial"/>
                <w:b/>
                <w:bCs/>
                <w:color w:val="FFFFFF"/>
                <w:sz w:val="20"/>
                <w:szCs w:val="20"/>
                <w:lang w:eastAsia="hr-HR"/>
              </w:rPr>
            </w:pPr>
            <w:r w:rsidRPr="009F782F">
              <w:rPr>
                <w:rFonts w:ascii="Arial" w:hAnsi="Arial" w:cs="Arial"/>
                <w:b/>
                <w:bCs/>
                <w:color w:val="FFFFFF"/>
                <w:sz w:val="20"/>
                <w:szCs w:val="20"/>
                <w:lang w:eastAsia="hr-HR"/>
              </w:rPr>
              <w:t>87.508.326,00</w:t>
            </w:r>
          </w:p>
        </w:tc>
        <w:tc>
          <w:tcPr>
            <w:tcW w:w="1567" w:type="dxa"/>
            <w:tcBorders>
              <w:top w:val="nil"/>
              <w:left w:val="nil"/>
              <w:bottom w:val="nil"/>
              <w:right w:val="nil"/>
            </w:tcBorders>
            <w:shd w:val="clear" w:color="000000" w:fill="C0C0C0"/>
            <w:noWrap/>
            <w:vAlign w:val="bottom"/>
            <w:hideMark/>
          </w:tcPr>
          <w:p w:rsidR="009F782F" w:rsidRPr="009F782F" w:rsidRDefault="009F782F" w:rsidP="009F782F">
            <w:pPr>
              <w:jc w:val="right"/>
              <w:rPr>
                <w:rFonts w:ascii="Arial" w:hAnsi="Arial" w:cs="Arial"/>
                <w:b/>
                <w:bCs/>
                <w:color w:val="FFFFFF"/>
                <w:sz w:val="20"/>
                <w:szCs w:val="20"/>
                <w:lang w:eastAsia="hr-HR"/>
              </w:rPr>
            </w:pPr>
            <w:r w:rsidRPr="009F782F">
              <w:rPr>
                <w:rFonts w:ascii="Arial" w:hAnsi="Arial" w:cs="Arial"/>
                <w:b/>
                <w:bCs/>
                <w:color w:val="FFFFFF"/>
                <w:sz w:val="20"/>
                <w:szCs w:val="20"/>
                <w:lang w:eastAsia="hr-HR"/>
              </w:rPr>
              <w:t>63.922.590,77</w:t>
            </w:r>
          </w:p>
        </w:tc>
        <w:tc>
          <w:tcPr>
            <w:tcW w:w="1127" w:type="dxa"/>
            <w:tcBorders>
              <w:top w:val="nil"/>
              <w:left w:val="nil"/>
              <w:bottom w:val="nil"/>
              <w:right w:val="nil"/>
            </w:tcBorders>
            <w:shd w:val="clear" w:color="000000" w:fill="C0C0C0"/>
            <w:noWrap/>
            <w:vAlign w:val="bottom"/>
            <w:hideMark/>
          </w:tcPr>
          <w:p w:rsidR="009F782F" w:rsidRPr="009F782F" w:rsidRDefault="009F782F" w:rsidP="009F782F">
            <w:pPr>
              <w:jc w:val="right"/>
              <w:rPr>
                <w:rFonts w:ascii="Arial" w:hAnsi="Arial" w:cs="Arial"/>
                <w:b/>
                <w:bCs/>
                <w:color w:val="FFFFFF"/>
                <w:sz w:val="20"/>
                <w:szCs w:val="20"/>
                <w:lang w:eastAsia="hr-HR"/>
              </w:rPr>
            </w:pPr>
            <w:r w:rsidRPr="009F782F">
              <w:rPr>
                <w:rFonts w:ascii="Arial" w:hAnsi="Arial" w:cs="Arial"/>
                <w:b/>
                <w:bCs/>
                <w:color w:val="FFFFFF"/>
                <w:sz w:val="20"/>
                <w:szCs w:val="20"/>
                <w:lang w:eastAsia="hr-HR"/>
              </w:rPr>
              <w:t>73,05%</w:t>
            </w: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RAZDJEL 001 GRADSKO VIJEĆE, GRADONAČELNIK  I  OSTALA RADNA TIJELA</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64.429.298,00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42.357.557,65</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65,74%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24.213.098,00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17.677.147,23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73,01%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14.183.098,00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10.309.896,16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1.2. Prihodi od 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7.897.000,00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5.486.378,21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69,47%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1.880.872,86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89,14%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1.6. Primici od 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28.977.500,00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19.750.166,12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68,16%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3.1. Prihodi od komunalne naknade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7.945.000,00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6.000.562,73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75,53%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18.723.500,00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12.157.992,41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64,93%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3.4. Prihodi od sufinanciranja građana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3.5. Prihodi od doprinosa za šume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3.7. Prihodi od 8% napl.vodnog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1.476.000,00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1.543.432,50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104,57%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3.A. Prihodi od zakupa poljoprivrednog zemljišta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48.178,48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96,36%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582.200,00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223.845,88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38,45%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4.1. Tekuće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4.2. Tekuće pomoći iz županijskih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-17.023,58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192.491,27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4.6. Kapitalne pomoći iz općinskih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46.234,44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46,23%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112.200,00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2.143,75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5.590.000,00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3.783.731,48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5.590.000,00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3.783.731,48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xml:space="preserve">Izvor 7. NAMJENSKI PRIMICI  </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5.066.500,00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922.666,94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18,21%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7.1. Namjenski primici od zaduživanja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5.066.500,00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922.666,94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18,21%</w:t>
            </w: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2.867.400,00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2.380.963,43</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83,04%</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596.506,32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62,79%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469.936,80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72,30%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260.000,00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290.000,00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209.936,80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72,39%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49.936,80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38,41%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20.467,35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29.469,45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126.569,52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42,19%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126.569,52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42,19%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126.569,52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42,19%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126.569,52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487.400,00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582.037,66</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119,42%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487.400,00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582.037,66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119,42%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69.400,00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49.204,51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70,90%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28.553,30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63,45%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28.553,30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24.400,00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20.651,21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84,64%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325,09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20.326,12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532.833,15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128,39%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532.833,15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128,39%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121.535,31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411.297,84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1.6. Primici od 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1.180.000,00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948.418,58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80,37%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948.418,58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80,37%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544.865,36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69,85%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544.865,36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69,85%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287.080,98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257.784,38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403.553,22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100,89%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403.553,22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100,89%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403.553,22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254.000,87</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101,60%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254.000,87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101,60%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254.000,87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101,60%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254.000,87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101,60%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254.000,87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3.070.000,00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2.640.803,44</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86,02%</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188.325,39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47,08%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188.325,39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47,08%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188.325,39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47,08%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188.325,39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47,08%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188.325,39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3.008,44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3.008,44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3.008,44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3.008,44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3.008,44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381.073,58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115,48%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381.073,58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115,48%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381.073,58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115,48%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381.073,58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115,48%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381.073,58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617.101,14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617.101,14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617.101,14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85,71%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617.101,14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85,71%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428.458,34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188.642,80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1.451.294,89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90,42%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1.451.294,89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90,42%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1.451.294,89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90,42%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225.081,43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75,03%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225.081,43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1.305.000,00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1.226.213,46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93,96%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1.226.213,46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0102</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5.128.000,00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2.463.138,29</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48,03%</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3.432.000,00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1.485.580,27</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43,29%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3.422.000,00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1.480.580,27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43,27%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775.000,00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587.600,00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75,82%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255.600,00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63,90%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255.600,00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363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42,67%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3631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2.647.000,00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892.980,27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33,74%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447.000,00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332.525,00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74,39%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332.525,00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560.455,27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25,48%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560.455,27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889.058,02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127,01%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889.058,02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127,01%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889.058,02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127,01%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889.058,02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127,01%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889.058,02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363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13,33%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3632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3861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3862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3861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116.000,00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7,33%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53,13%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363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3631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363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3631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3.7. Prihodi od 8% napl.vodnog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363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3631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0104</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158.000,00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149.999,99</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94,94%</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149.999,99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149.999,99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149.999,99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149.999,99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149.999,99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0105</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36.499,63</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73,00%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21.011,63</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105,06%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21.011,63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105,06%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21.011,63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105,06%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21.011,63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105,06%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21.011,63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15.488,00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77,44%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15.488,00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77,44%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15.488,00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77,44%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15.488,00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77,44%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15.488,00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0106</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471.048,57</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98,14%</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471.048,57</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98,14%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471.048,57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98,14%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471.048,57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98,14%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471.048,57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100,22%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471.048,57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363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3631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0107</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16.200,00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4,05%</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16.200,00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16.200,00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16.200,00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1108</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4.967.698,00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4.818.325,03</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96,99%</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927.698,00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927.694,45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927.698,00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927.694,45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927.698,00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927.694,45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544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927.698,00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927.694,45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5443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927.694,45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3.477,88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34,78%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3.477,88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34,78%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3.477,88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3.477,88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3.477,88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398.550,79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398.550,79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398.550,79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544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398.550,79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5443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398.550,79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28.019,63</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28.019,63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28.019,63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28.019,63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28.019,63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2.816.690,40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98,83%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2.816.690,40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98,83%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2.816.690,40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98,83%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544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2.816.690,40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98,83%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5443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2.816.690,40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403.416,19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93,82%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403.416,19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93,82%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403.416,19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93,82%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403.416,19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93,82%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403.416,19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240.475,69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92,49%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240.475,69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92,49%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240.475,69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92,49%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547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240.475,69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92,49%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5471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240.475,69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7.640.000,00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6.458.525,23</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84,54%</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4.539.102,00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90,78%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4.539.102,00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90,78%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4.539.102,00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4.539.102,00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4.539.102,00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192.491,27</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71,29%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192.491,27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77,00%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192.491,27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77,00%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192.491,27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77,00%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192.491,27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79.297,20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72,09%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79.297,20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79,30%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79.297,20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79,30%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79.297,20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79,30%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79.297,20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K100009</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K100010</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18.312,50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61,04%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18.312,50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61,04%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18.312,50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61,04%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18.312,50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61,04%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18.312,50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57.221,25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57,22%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57.221,25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57,22%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57.221,25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57,22%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57.221,25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57,22%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57.221,25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638.991,01</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98,31%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638.991,01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98,31%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638.991,01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98,31%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638.991,01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98,31%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638.991,01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K100020</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K100030</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933.110,00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84,83%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933.110,00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84,83%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933.110,00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84,83%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933.110,00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84,83%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933.110,00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K100036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3862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T100009</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31.078,38</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19,42%</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31.078,38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31,08%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31.078,38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31,08%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31.078,38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31,08%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31.078,38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31,08%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31.078,38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3.4. Prihodi od sufinanciranja građana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0102</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1.079.000,00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255.298,73</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23,66%</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1.049.000,00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255.298,73</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24,34%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255.298,73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24,79%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255.298,73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255.298,73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255.298,73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3.5. Prihodi od doprinosa za šume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125.000,00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62,50%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125.000,00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62,50%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62,50%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62,50%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62,50%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0102</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1.170.000,00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789.776,90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67,50%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255.000,00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72,86%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72,86%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72,86%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72,86%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532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5321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150.000,00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A100009</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164.776,90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41,19%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164.776,90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41,19%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164.776,90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41,19%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164.776,90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41,19%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164.776,90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10.430.000,00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8.394.021,19</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80,48%</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461.446,25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83,90%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461.446,25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83,90%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3.1. Prihodi od komunalne naknade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461.446,25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83,90%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461.446,25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83,90%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461.446,25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2.077.642,65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2.077.642,65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56,00%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3.1. Prihodi od komunalne naknade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2.077.642,65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56,00%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2.077.642,65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2.077.642,65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1.803.761,95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100,21%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1.803.761,95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100,21%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3.1. Prihodi od komunalne naknade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1.803.761,95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100,21%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1.803.761,95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100,21%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1.803.761,95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1.475.336,88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86,78%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1.475.336,88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86,78%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3.1. Prihodi od komunalne naknade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1.475.336,88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1.475.336,88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1.475.336,88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374.854,75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83,30%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374.854,75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83,30%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374.854,75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83,30%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374.854,75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83,30%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374.854,75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571.832,99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92,23%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571.832,99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571.832,99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571.832,99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92,23%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571.832,99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109.403,05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109,40%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109.403,05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109,40%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109.403,05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109,40%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109.403,05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109,40%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109.403,05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A100009</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19.951,25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19.951,25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19,95%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19.951,25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19,95%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19.951,25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19.951,25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A100010</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1.499.791,42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107,13%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1.499.791,42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107,13%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1.499.791,42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107,13%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1.499.791,42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107,13%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1.499.791,42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16.230.000,00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5.306.475,16</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32,70%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199.387,50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21,91%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199.387,50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21,91%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199.387,50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21,91%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199.387,50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21,91%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199.387,50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182.375,00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98,58%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182.375,00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98,58%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3.1. Prihodi od komunalne naknade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182.375,00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98,58%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182.375,00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98,58%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182.375,00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937,50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18,75%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937,50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18,75%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937,50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18,75%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18,75%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937,50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K100010</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13.235,43</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13.235,43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13.235,43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13.235,43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13.235,43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24.750,00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82,50%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24.750,00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82,50%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24.750,00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82,50%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24.750,00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82,50%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24.750,00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922.666,94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12,30%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2.433.500,00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2.433.500,00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2.433.500,00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xml:space="preserve">Izvor 7. NAMJENSKI PRIMICI  </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5.066.500,00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922.666,94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18,21%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7.1. Namjenski primici od zaduživanja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5.066.500,00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922.666,94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18,21%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5.066.500,00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922.666,94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18,21%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922.666,94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1.395.660,24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55,83%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1.395.660,24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55,83%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1.395.660,24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55,83%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1.395.660,24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55,83%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1.395.660,24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K100019</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K100020</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4.6. Kapitalne pomoći iz općinskih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562.500,00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93,75%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562.500,00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93,75%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562.500,00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93,75%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93,75%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562.500,00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K100027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49.898,99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49,90%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49.898,99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49,90%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49.898,99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49,90%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49.898,99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49,90%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49.898,99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1.162.731,06</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58,14%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1.162.731,06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58,14%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1.162.731,06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58,14%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1.162.731,06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58,14%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1.162.731,06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782.332,50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86,93%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782.332,50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86,93%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782.332,50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86,93%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782.332,50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86,93%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782.332,50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256.750,00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85,58%</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256.750,00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85,58%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256.750,00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85,58%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256.750,00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85,58%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256.750,00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85,58%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256.750,00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1.630.000,00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1.790.037,15</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109,82%</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1.790.037,15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111,88%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1.807.060,73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112,94%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308.329,48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308.329,48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102,78%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308.329,48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3.9. Prihodi od koncesija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1.498.731,25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115,29%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1.498.731,25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115,29%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1.498.731,25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-17.023,58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4.2. Tekuće pomoći iz županijskih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-17.023,58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-17.023,58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-17.023,58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lastRenderedPageBreak/>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1.500.000,00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1.160.000,00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467.000,00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40,26%</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427.000,00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42,28%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427.000,00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42,28%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427.000,00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42,28%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427.000,00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42,28%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427.000,00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A100015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A100017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A100018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8,67%</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2.029.176,06</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81,17%</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1.352.941,62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84,56%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1.352.941,62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84,56%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1.352.941,62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84,56%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372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1.352.941,62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84,56%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3721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1.352.941,62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372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3722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4.1. Tekuće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530.000,00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410.000,00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410.000,00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46.234,44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46,23%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46.234,44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46,23%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46.234,44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46,23%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46.234,44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46,23%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46.234,44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4.200,00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2.143,75</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51,04%</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2.143,75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97,44%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2.143,75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97,44%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2.143,75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97,44%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2.143,75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97,44%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2.143,75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887.800,00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44,39%</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887.800,00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44,39%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887.800,00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64,33%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887.800,00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64,33%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372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1.380.000,00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887.800,00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64,33%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3721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887.800,00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3.4. Prihodi od sufinanciranja građana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372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3721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275.000,00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275.000,00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A100008</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275.000,00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275.000,00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275.000,00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381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3811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919,50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919,50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919,50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919,50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919,50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919,50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1000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785.577,22</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126,71%</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785.577,22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126,71%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1.2. Prihodi od 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53.880,01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67,35%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5.701,53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5.701,53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5.701,53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3.A. Prihodi od zakupa poljoprivrednog zemljišta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48.178,48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96,36%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48.178,48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96,36%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48.178,48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731.697,21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140,71%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731.697,21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140,71%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731.697,21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146,34%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731.697,21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1000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4.4. Kapitalne pomoći iz državnog proračuna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K100004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3.3. Prihodi od komunalnog doprinosa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4.D. Kapitalne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4214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RAZDJEL 002 JEDINSTVENI UPRAVNI ODJEL</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23.079.028,00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21.565.033,12</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93,44%</w:t>
            </w: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GLAVA 00200 JEDINSTVENI UPRAVNI ODJEL</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9.244.000,00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8.367.719,35</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90,52%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8.359.000,00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8.190.545,80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97,98%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5.259.000,00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5.487.994,13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104,35%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2.152.072,52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87,84%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550.479,15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84,69%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 VLASTITI PRIHODI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40.403,79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67,34%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2.1. Prihodi od obavljanja vlastitih poslova na tržištu</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40.403,79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67,34%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136.769,76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16,89%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3.4. Prihodi od sufinanciranja građana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136.769,76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16,89%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6.544.000,00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6.061.612,12</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92,63%</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4.544.000,00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4.428.747,45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97,46%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3.919.000,00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4.428.747,45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113,01%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3.919.000,00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4.428.747,45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113,01%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3.757.064,71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117,41%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3.757.064,71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96.103,12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64,07%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96.103,12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569.000,00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575.579,62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101,16%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575.579,62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3.4. Prihodi od sufinanciranja građana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730.000,00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555.064,19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76,04%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555.064,19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76,04%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230.000,00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139.530,09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60,67%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50.125,00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71,61%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50.125,00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89.405,09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55,88%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87.758,14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1.646,95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53.851,50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53,85%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53.851,50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53,85%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53.851,50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361.682,60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90,42%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170.610,01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77,55%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100.868,56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69.741,45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191.072,59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106,15%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191.072,59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1.270.000,00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1.077.800,48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84,87%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900.626,93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89,17%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900.626,93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89,17%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900.626,93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89,17%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299.996,64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22.178,75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38.613,75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7.930,00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3238</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458.004,28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73.903,51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 VLASTITI PRIHODI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40.403,79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67,34%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2.1. Prihodi od obavljanja vlastitih poslova na tržištu</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40.403,79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67,34%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40.403,79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67,34%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40.403,79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136.769,76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68,38%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3.4. Prihodi od sufinanciranja građana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136.769,76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136.769,76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136.769,76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2.350.000,00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2.098.221,02</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89,29%</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2.200.000,00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1.970.469,31</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1.970.469,31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1.970.469,31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1.970.469,31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1.970.469,31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127.751,71</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85,17%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127.751,71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85,17%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127.751,71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85,17%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127.751,71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85,17%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127.751,71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0102</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188.796,55</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75,52%</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188.796,55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75,52%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188.796,55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75,52%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188.796,55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75,52%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188.796,55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75,52%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188.796,55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0101</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19.089,66</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19,09%</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19.089,66</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38,18%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19.089,66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38,18%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19.089,66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38,18%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19.089,66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38,18%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19.089,66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lastRenderedPageBreak/>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4262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GLAVA 00201 KNJIŽNICE</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1.367.628,00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1.453.223,81</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106,26%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1.037.141,00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1.141.256,00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110,04%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841.631,00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950.256,00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112,91%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189.500,00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97,63%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1.7. Prihodi od financijske imovine-pror.kor.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125.114,00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133.222,20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106,48%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125.114,00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133.222,20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106,48%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205.373,00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178.745,61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87,03%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143.373,00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116.745,61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81,43%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xml:space="preserve">Izvor 4.B. Kapitalne pomoći pror.korisnicima iz proračuna koji im nije </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1.367.628,00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1.453.223,81</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106,26%</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659.270,00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804.433,77</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122,02%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572.145,00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713.500,00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124,71%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572.145,00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713.500,00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124,71%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473.395,00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597.200,00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126,15%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597.200,00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20.600,00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87,38%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78.150,00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125,78%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98.300,00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12.375,81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12.375,81</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12.375,81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12.375,81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87.125,00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78.557,96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90,17%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87.125,00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78.557,96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90,17%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74.805,00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78.557,96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105,02%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78.557,96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12.320,00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373.148,00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330.548,38</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88,58%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257.856,00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227.926,00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88,39%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251.856,00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221.926,00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88,12%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15.126,00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81,76%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15.126,00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199.356,00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88,28%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176.000,00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22.800,00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80.644,00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81.033,20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100,48%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80.644,00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81.033,20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100,48%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50.459,10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107,36%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24.772,28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20.517,07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5.169,75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32.144,00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30.574,10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95,12%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9.787,99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4.028,00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16.758,11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34.648,00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21.589,18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62,31%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34.648,00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21.589,18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62,31%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34.648,00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21.589,18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62,31%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141,97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21.447,21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4.510,00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5.056,89</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112,13%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1.7. Prihodi od financijske imovine-pror.kor.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5.056,89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112,38%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5.056,89</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5.056,89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112,38%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5.056,89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76.700,00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63.684,77</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83,03%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15.130,00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12.330,00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81,49%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15.130,00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12.330,00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81,49%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15.130,00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12.330,00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81,49%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4.030,00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3238</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39.970,00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34.756,30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86,96%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39.970,00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34.756,30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86,96%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39.970,00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34.756,30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86,96%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6.198,69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21.495,11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7.062,50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21.600,00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16.598,47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76,84%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4.9. Tekuće pomoći temeljem prijenosa EU sredstava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21.600,00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16.598,47</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76,84%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21.600,00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16.598,47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76,84%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16.598,47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247.000,00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247.000,00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185.000,00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xml:space="preserve">Izvor 4.B. Kapitalne pomoći pror.korisnicima iz proračuna koji im nije </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GLAVA 00202 MUZEJI</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884.380,00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680.236,50</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76,92%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872.380,00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668.010,00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76,57%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800.870,00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604.910,00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75,53%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71.500,00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63.100,00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88,25%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1.7. Prihodi od financijske imovine-pror.kor.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226,50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4.A. Tekuće pomoći pror.korisnicima iz proračuna koji im nije nad</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226,50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884.380,00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680.236,50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76,92%</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256.560,00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246.100,00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95,92%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256.560,00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246.100,00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95,92%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256.560,00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246.100,00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95,92%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211.300,00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97,82%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211.300,00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35.560,00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97,86%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34.800,00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234.360,00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129.886,50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55,42%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222.360,00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117.660,00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52,91%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212.360,00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107.660,00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50,70%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76,52%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188.360,00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86.360,00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45,85%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5.700,00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1.360,00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74.000,00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226,50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4.A. Tekuće pomoći pror.korisnicima iz proračuna koji im nije nad</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226,50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226,50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226,50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3.460,00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3.450,00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99,71%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3.460,00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99,71%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3.450,00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3.450,00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3.450,00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3.450,00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1.7. Prihodi od financijske imovine-pror.kor.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328.500,00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247.700,00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75,40%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328.500,00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247.700,00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75,40%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328.500,00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247.700,00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75,40%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328.500,00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247.700,00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75,40%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14.000,00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82.200,00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3238</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137.000,00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90,67%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90,67%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90,67%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90,67%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44.300,00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88,60%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44.300,00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88,60%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44.300,00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88,60%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44.300,00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88,60%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44.300,00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A100014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GLAVA 00204 VRTIĆI</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6.892.020,00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6.539.626,96</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94,89%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5.450.020,00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5.340.000,00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97,98%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5.228.380,00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5.163.156,60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98,75%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23.315,40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46,63%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171.620,00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153.528,00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89,46%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1.7. Prihodi od financijske imovine-pror.kor.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1.199.626,96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1.400.000,00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1.199.626,96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4.A. Tekuće pomoći pror.korisnicima iz proračuna koji im nije nad</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4.C. Tekuće pomoći od izvanproračunskih korisnika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 PRIHODI OD DONACIJA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5.5. Prihodi od donacija-pror.kor.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6.892.020,00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6.539.626,96</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94,89%</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4.927.857,96</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102,24%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4.927.857,96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102,24%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4.927.857,96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102,24%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4.179.847,59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101,95%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4.179.847,59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56.579,49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188,60%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56.579,49</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690.000,00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691.430,88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100,21%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691.430,88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1.459.620,00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1.294.109,70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88,66%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498.620,00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327.324,46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65,65%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327.000,00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173.796,46</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53,15%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134.919,84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47,34%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28.669,41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16.513,02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69.166,15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20.571,26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38.876,62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105,07%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11.162,50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27.714,12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1.4. Prihodi od administrativnih (upravnih) pristojbi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171.620,00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153.528,00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89,46%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171.620,00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153.528,00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89,46%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124.460,00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29.068,00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919.000,00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966.785,24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105,20%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919.000,00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966.785,24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105,20%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20.073,33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57,35%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20.073,33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688.228,05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95,32%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164.911,38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489.783,94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22.963,73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10.569,00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67.000,00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48.596,04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72,53%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48.596,04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209.887,82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228,14%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20.855,37</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6.144,50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182.887,95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4.A. Tekuće pomoći pror.korisnicima iz proračuna koji im nije nad</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4.C. Tekuće pomoći od izvanproračunskih korisnika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 PRIHODI OD DONACIJA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5.5. Prihodi od donacija-pror.kor.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6.020,00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4.889,55</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81,22%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1.7. Prihodi od financijske imovine-pror.kor.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4.889,55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81,49%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4.889,55</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81,49%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4.889,55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81,49%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4.889,55</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390.380,00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270.738,52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69,35%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81.380,00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61.502,18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75,57%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81.380,00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61.502,18</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75,57%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81.380,00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61.502,18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75,57%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5.775,26</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25.657,12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30.069,80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209.236,34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67,71%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209.236,34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67,71%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309.000,00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209.236,34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67,71%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24.548,38</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55.863,32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46.838,50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39.477,50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3238</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42.508,64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A100005</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451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4511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185.000,00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38.472,90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20,80%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23.315,40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46,63%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23.315,40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46,63%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23.315,40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46,63%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23.315,40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15.157,50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15.157,50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11,23%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135.000,00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15.157,50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11,23%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7.457,50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7.700,00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3.558,33</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59,31%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 PRIHODI ZA POSEBNE NAMJENE I PO POSEBNIM PROPISIMA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3.558,33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59,31%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3.8. Ostali prihodi za posebne namjene-pror.kor.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3.558,33</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59,31%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3.558,33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59,31%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4241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3.558,33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9999FF"/>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GLAVA 00205 VATROGASTVO</w:t>
            </w:r>
          </w:p>
        </w:tc>
        <w:tc>
          <w:tcPr>
            <w:tcW w:w="1855"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4.691.000,00</w:t>
            </w:r>
          </w:p>
        </w:tc>
        <w:tc>
          <w:tcPr>
            <w:tcW w:w="156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4.524.226,50</w:t>
            </w:r>
          </w:p>
        </w:tc>
        <w:tc>
          <w:tcPr>
            <w:tcW w:w="1127" w:type="dxa"/>
            <w:tcBorders>
              <w:top w:val="nil"/>
              <w:left w:val="nil"/>
              <w:bottom w:val="nil"/>
              <w:right w:val="nil"/>
            </w:tcBorders>
            <w:shd w:val="clear" w:color="000000" w:fill="9999FF"/>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96,44%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1.199.500,00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536.111,00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44,69%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193.500,00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160.472,00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82,93%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375.639,00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37,34%</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 VLASTITI PRIHODI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83.825,00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94,19%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2.2. Prihodi od obavljanja vlastitih poslova na tržištu - pror.ko</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89.000,00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83.825,00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94,19%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3.056.500,00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3.556.660,00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116,36%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4.7. Tekuće pomoći izravnanja za decentrilizirane funkcije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3.056.500,00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3.556.660,00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116,36%</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 PRIHODI OD DONACIJA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20.401,50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5.5. Prihodi od donacija-pror.kor.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20.401,50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327.229,00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327.229,00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1108</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326.000,00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327.229,00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T100007</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326.000,00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327.229,00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 PRIH.OD PRODAJE ILI ZAMJ.NEFIN.IMOVINE I NAK. S NAS.OSIG.</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327.229,00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6.1. Prihodi od prodaje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327.229,00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544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327.229,00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100,38%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5443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327.229,00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9900"/>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0100</w:t>
            </w:r>
          </w:p>
        </w:tc>
        <w:tc>
          <w:tcPr>
            <w:tcW w:w="1855"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4.365.000,00</w:t>
            </w:r>
          </w:p>
        </w:tc>
        <w:tc>
          <w:tcPr>
            <w:tcW w:w="156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4.196.997,50</w:t>
            </w:r>
          </w:p>
        </w:tc>
        <w:tc>
          <w:tcPr>
            <w:tcW w:w="1127" w:type="dxa"/>
            <w:tcBorders>
              <w:top w:val="nil"/>
              <w:left w:val="nil"/>
              <w:bottom w:val="nil"/>
              <w:right w:val="nil"/>
            </w:tcBorders>
            <w:shd w:val="clear" w:color="000000" w:fill="FF9900"/>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96,15%</w:t>
            </w: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A100001</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3.726.500,00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3.647.410,00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97,88%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90.750,00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13,35%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680.000,00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90.750,00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13,35%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580.000,00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90.750,00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90,75%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90.750,00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3.046.500,00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3.556.660,00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116,75%</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4.7. Tekuće pomoći izravnanja za decentrilizirane funkcije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3.046.500,00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3.556.660,00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116,75%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2.338.000,00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2.858.260,00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122,25%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2.858.260,00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313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708.500,00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698.400,00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98,57%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225.500,00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3132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472.900,00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A100002</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383.000,00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322.978,54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84,33%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lastRenderedPageBreak/>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348.000,00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289.809,00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83,28%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60.270,00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73,50%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56,00%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11.200,00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49.070,00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79,15%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49.070,00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266.000,00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229.539,00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86,29%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46.500,00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46.500,00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216.000,00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183.039,00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84,74%</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24.069,00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89.020,00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69.100,00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 VLASTITI PRIHODI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12.768,04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85,12%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2.2. Prihodi od obavljanja vlastitih poslova na tržištu - pror.ko</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15.000,00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12.768,04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85,12%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3.839,83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76,80%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3211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3.839,83</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8.928,21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89,28%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3293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8.928,21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 PRIHODI OD DONACIJA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20.401,50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102,01%</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5.5. Prihodi od donacija-pror.kor.</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20.401,50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102,01%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20.401,50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102,01%</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20.401,50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A100003</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29.500,00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27.550,32</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93,39%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27.500,00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26.672,00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96,99%</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27.500,00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26.672,00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96,99%</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23.000,00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21.662,00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94,18%</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21.662,00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4.500,00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5.010,00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111,33%</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4.010,00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 VLASTITI PRIHODI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878,32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43,92%</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2.2. Prihodi od obavljanja vlastitih poslova na tržištu - pror.ko</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878,32</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43,92%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343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878,32</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43,92%</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661,61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3434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216,71</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A100004</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206.000,00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199.058,64</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96,63%</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134.000,00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128.880,00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96,18%</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74.000,00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73.530,00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99,36%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74.000,00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73.530,00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99,36%</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26.520,00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3234</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21.800,00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3236</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7.000,00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3238</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17.210,00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1.3. Prihodi od nefinancijske imovine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60.000,00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55.350,00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92,25%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60.000,00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55.350,00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92,25%</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55.350,00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 VLASTITI PRIHODI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70.178,64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97,47%</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2.2. Prihodi od obavljanja vlastitih poslova na tržištu - pror.ko</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72.000,00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70.178,64</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97,47%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323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72.000,00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70.178,64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97,47%</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3235</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2.000,00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3237</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51.670,70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3239</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16.507,94</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 </w:t>
            </w:r>
          </w:p>
        </w:tc>
        <w:tc>
          <w:tcPr>
            <w:tcW w:w="6107" w:type="dxa"/>
            <w:tcBorders>
              <w:top w:val="nil"/>
              <w:left w:val="nil"/>
              <w:bottom w:val="nil"/>
              <w:right w:val="nil"/>
            </w:tcBorders>
            <w:shd w:val="clear" w:color="000000" w:fill="FFFF99"/>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A100006</w:t>
            </w:r>
          </w:p>
        </w:tc>
        <w:tc>
          <w:tcPr>
            <w:tcW w:w="1855"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20.000,00</w:t>
            </w:r>
          </w:p>
        </w:tc>
        <w:tc>
          <w:tcPr>
            <w:tcW w:w="156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000000" w:fill="FFFF99"/>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 OPĆI PRIHODI I PRIMICI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1.1. Prihodi od poreza</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4223</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 PRIHODI OD POMOĆI</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 </w:t>
            </w:r>
          </w:p>
        </w:tc>
        <w:tc>
          <w:tcPr>
            <w:tcW w:w="6107" w:type="dxa"/>
            <w:tcBorders>
              <w:top w:val="nil"/>
              <w:left w:val="nil"/>
              <w:bottom w:val="nil"/>
              <w:right w:val="nil"/>
            </w:tcBorders>
            <w:shd w:val="clear" w:color="000000" w:fill="CCCCFF"/>
            <w:noWrap/>
            <w:vAlign w:val="bottom"/>
            <w:hideMark/>
          </w:tcPr>
          <w:p w:rsidR="009F782F" w:rsidRPr="009F782F" w:rsidRDefault="009F782F" w:rsidP="009F782F">
            <w:pPr>
              <w:rPr>
                <w:rFonts w:ascii="Arial" w:hAnsi="Arial" w:cs="Arial"/>
                <w:b/>
                <w:bCs/>
                <w:color w:val="333333"/>
                <w:sz w:val="20"/>
                <w:szCs w:val="20"/>
                <w:lang w:eastAsia="hr-HR"/>
              </w:rPr>
            </w:pPr>
            <w:r w:rsidRPr="009F782F">
              <w:rPr>
                <w:rFonts w:ascii="Arial" w:hAnsi="Arial" w:cs="Arial"/>
                <w:b/>
                <w:bCs/>
                <w:color w:val="333333"/>
                <w:sz w:val="20"/>
                <w:szCs w:val="20"/>
                <w:lang w:eastAsia="hr-HR"/>
              </w:rPr>
              <w:t>Izvor 4.7. Tekuće pomoći izravnanja za decentrilizirane funkcije</w:t>
            </w:r>
          </w:p>
        </w:tc>
        <w:tc>
          <w:tcPr>
            <w:tcW w:w="1855"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10.000,00</w:t>
            </w:r>
          </w:p>
        </w:tc>
        <w:tc>
          <w:tcPr>
            <w:tcW w:w="156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c>
          <w:tcPr>
            <w:tcW w:w="1127" w:type="dxa"/>
            <w:tcBorders>
              <w:top w:val="nil"/>
              <w:left w:val="nil"/>
              <w:bottom w:val="nil"/>
              <w:right w:val="nil"/>
            </w:tcBorders>
            <w:shd w:val="clear" w:color="000000" w:fill="CCCCFF"/>
            <w:noWrap/>
            <w:vAlign w:val="bottom"/>
            <w:hideMark/>
          </w:tcPr>
          <w:p w:rsidR="009F782F" w:rsidRPr="009F782F" w:rsidRDefault="009F782F" w:rsidP="009F782F">
            <w:pPr>
              <w:jc w:val="right"/>
              <w:rPr>
                <w:rFonts w:ascii="Arial" w:hAnsi="Arial" w:cs="Arial"/>
                <w:b/>
                <w:bCs/>
                <w:color w:val="333333"/>
                <w:sz w:val="20"/>
                <w:szCs w:val="20"/>
                <w:lang w:eastAsia="hr-HR"/>
              </w:rPr>
            </w:pPr>
            <w:r w:rsidRPr="009F782F">
              <w:rPr>
                <w:rFonts w:ascii="Arial" w:hAnsi="Arial" w:cs="Arial"/>
                <w:b/>
                <w:bCs/>
                <w:color w:val="333333"/>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color w:val="333333"/>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b/>
                <w:bCs/>
                <w:sz w:val="20"/>
                <w:szCs w:val="20"/>
                <w:lang w:eastAsia="hr-HR"/>
              </w:rPr>
            </w:pPr>
            <w:r w:rsidRPr="009F782F">
              <w:rPr>
                <w:rFonts w:ascii="Arial" w:hAnsi="Arial" w:cs="Arial"/>
                <w:b/>
                <w:bCs/>
                <w:sz w:val="20"/>
                <w:szCs w:val="20"/>
                <w:lang w:eastAsia="hr-HR"/>
              </w:rPr>
              <w:t>422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10.000,00</w:t>
            </w: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r w:rsidRPr="009F782F">
              <w:rPr>
                <w:rFonts w:ascii="Arial" w:hAnsi="Arial" w:cs="Arial"/>
                <w:b/>
                <w:bCs/>
                <w:sz w:val="20"/>
                <w:szCs w:val="20"/>
                <w:lang w:eastAsia="hr-HR"/>
              </w:rPr>
              <w:t>0,00%</w:t>
            </w: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b/>
                <w:bCs/>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4221</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r w:rsidR="009F782F" w:rsidRPr="009F782F" w:rsidTr="009F782F">
        <w:trPr>
          <w:trHeight w:val="264"/>
          <w:jc w:val="center"/>
        </w:trPr>
        <w:tc>
          <w:tcPr>
            <w:tcW w:w="272" w:type="dxa"/>
            <w:tcBorders>
              <w:top w:val="nil"/>
              <w:left w:val="nil"/>
              <w:bottom w:val="nil"/>
              <w:right w:val="nil"/>
            </w:tcBorders>
            <w:shd w:val="clear" w:color="auto" w:fill="auto"/>
            <w:noWrap/>
            <w:vAlign w:val="bottom"/>
            <w:hideMark/>
          </w:tcPr>
          <w:p w:rsidR="009F782F" w:rsidRPr="009F782F" w:rsidRDefault="009F782F" w:rsidP="009F782F">
            <w:pPr>
              <w:jc w:val="right"/>
              <w:rPr>
                <w:sz w:val="20"/>
                <w:szCs w:val="20"/>
                <w:lang w:eastAsia="hr-HR"/>
              </w:rPr>
            </w:pPr>
          </w:p>
        </w:tc>
        <w:tc>
          <w:tcPr>
            <w:tcW w:w="6107"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r w:rsidRPr="009F782F">
              <w:rPr>
                <w:rFonts w:ascii="Arial" w:hAnsi="Arial" w:cs="Arial"/>
                <w:sz w:val="20"/>
                <w:szCs w:val="20"/>
                <w:lang w:eastAsia="hr-HR"/>
              </w:rPr>
              <w:t>4222</w:t>
            </w:r>
          </w:p>
        </w:tc>
        <w:tc>
          <w:tcPr>
            <w:tcW w:w="1855" w:type="dxa"/>
            <w:tcBorders>
              <w:top w:val="nil"/>
              <w:left w:val="nil"/>
              <w:bottom w:val="nil"/>
              <w:right w:val="nil"/>
            </w:tcBorders>
            <w:shd w:val="clear" w:color="auto" w:fill="auto"/>
            <w:noWrap/>
            <w:vAlign w:val="bottom"/>
            <w:hideMark/>
          </w:tcPr>
          <w:p w:rsidR="009F782F" w:rsidRPr="009F782F" w:rsidRDefault="009F782F" w:rsidP="009F782F">
            <w:pPr>
              <w:rPr>
                <w:rFonts w:ascii="Arial" w:hAnsi="Arial" w:cs="Arial"/>
                <w:sz w:val="20"/>
                <w:szCs w:val="20"/>
                <w:lang w:eastAsia="hr-HR"/>
              </w:rPr>
            </w:pPr>
          </w:p>
        </w:tc>
        <w:tc>
          <w:tcPr>
            <w:tcW w:w="156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r w:rsidRPr="009F782F">
              <w:rPr>
                <w:rFonts w:ascii="Arial" w:hAnsi="Arial" w:cs="Arial"/>
                <w:sz w:val="20"/>
                <w:szCs w:val="20"/>
                <w:lang w:eastAsia="hr-HR"/>
              </w:rPr>
              <w:t>0,00</w:t>
            </w:r>
          </w:p>
        </w:tc>
        <w:tc>
          <w:tcPr>
            <w:tcW w:w="1127" w:type="dxa"/>
            <w:tcBorders>
              <w:top w:val="nil"/>
              <w:left w:val="nil"/>
              <w:bottom w:val="nil"/>
              <w:right w:val="nil"/>
            </w:tcBorders>
            <w:shd w:val="clear" w:color="auto" w:fill="auto"/>
            <w:noWrap/>
            <w:vAlign w:val="bottom"/>
            <w:hideMark/>
          </w:tcPr>
          <w:p w:rsidR="009F782F" w:rsidRPr="009F782F" w:rsidRDefault="009F782F" w:rsidP="009F782F">
            <w:pPr>
              <w:jc w:val="right"/>
              <w:rPr>
                <w:rFonts w:ascii="Arial" w:hAnsi="Arial" w:cs="Arial"/>
                <w:sz w:val="20"/>
                <w:szCs w:val="20"/>
                <w:lang w:eastAsia="hr-HR"/>
              </w:rPr>
            </w:pPr>
          </w:p>
        </w:tc>
      </w:tr>
    </w:tbl>
    <w:p w:rsidR="009F782F" w:rsidRDefault="009F782F" w:rsidP="009E64C9">
      <w:pPr>
        <w:jc w:val="center"/>
        <w:rPr>
          <w:rFonts w:ascii="Arial" w:hAnsi="Arial" w:cs="Arial"/>
          <w:sz w:val="22"/>
          <w:szCs w:val="22"/>
          <w:lang w:eastAsia="hr-HR"/>
        </w:rPr>
      </w:pPr>
    </w:p>
    <w:p w:rsidR="000A6DC7" w:rsidRDefault="000A6DC7" w:rsidP="000A6DC7">
      <w:pPr>
        <w:jc w:val="center"/>
        <w:rPr>
          <w:rFonts w:ascii="Arial" w:hAnsi="Arial" w:cs="Arial"/>
        </w:rPr>
      </w:pPr>
      <w:r>
        <w:rPr>
          <w:rFonts w:ascii="Arial" w:hAnsi="Arial" w:cs="Arial"/>
        </w:rPr>
        <w:t>***</w:t>
      </w:r>
    </w:p>
    <w:p w:rsidR="00C13A86" w:rsidRDefault="00C13A86"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Default="009F782F" w:rsidP="000A6DC7">
      <w:pPr>
        <w:jc w:val="center"/>
        <w:rPr>
          <w:rFonts w:ascii="Arial" w:eastAsia="Calibri" w:hAnsi="Arial" w:cs="Arial"/>
          <w:szCs w:val="32"/>
        </w:rPr>
      </w:pPr>
    </w:p>
    <w:p w:rsidR="009F782F" w:rsidRPr="002B6238" w:rsidRDefault="009F782F"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5"/>
        <w:gridCol w:w="7556"/>
      </w:tblGrid>
      <w:tr w:rsidR="00EC7983" w:rsidRPr="004B7D2A" w:rsidTr="00EC7983">
        <w:tc>
          <w:tcPr>
            <w:tcW w:w="1526" w:type="dxa"/>
          </w:tcPr>
          <w:p w:rsidR="00EC7983" w:rsidRPr="004B7D2A" w:rsidRDefault="00EC7983" w:rsidP="00EC7983">
            <w:pPr>
              <w:pStyle w:val="Bezproreda"/>
              <w:jc w:val="center"/>
              <w:rPr>
                <w:rFonts w:ascii="Arial" w:hAnsi="Arial" w:cs="Arial"/>
                <w:noProof/>
                <w:color w:val="BFBFBF" w:themeColor="background1" w:themeShade="BF"/>
                <w:sz w:val="20"/>
                <w:szCs w:val="20"/>
                <w:lang w:eastAsia="hr-HR"/>
              </w:rPr>
            </w:pPr>
          </w:p>
          <w:p w:rsidR="00EC7983" w:rsidRPr="004B7D2A" w:rsidRDefault="00EC7983" w:rsidP="00EC7983">
            <w:pPr>
              <w:pStyle w:val="Bezproreda"/>
              <w:jc w:val="center"/>
              <w:rPr>
                <w:rFonts w:ascii="Arial" w:hAnsi="Arial" w:cs="Arial"/>
                <w:color w:val="BFBFBF" w:themeColor="background1" w:themeShade="BF"/>
                <w:sz w:val="20"/>
                <w:szCs w:val="20"/>
              </w:rPr>
            </w:pPr>
            <w:r w:rsidRPr="004B7D2A">
              <w:rPr>
                <w:rFonts w:ascii="Arial" w:hAnsi="Arial" w:cs="Arial"/>
                <w:noProof/>
                <w:color w:val="BFBFBF" w:themeColor="background1" w:themeShade="BF"/>
                <w:sz w:val="20"/>
                <w:szCs w:val="20"/>
              </w:rPr>
              <w:drawing>
                <wp:inline distT="0" distB="0" distL="0" distR="0" wp14:anchorId="4F8D4F3F" wp14:editId="7B25F435">
                  <wp:extent cx="409575" cy="447675"/>
                  <wp:effectExtent l="0" t="0" r="9525" b="9525"/>
                  <wp:docPr id="11" name="Slika 11"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4B7D2A" w:rsidRDefault="00EC7983" w:rsidP="00EC7983">
            <w:pPr>
              <w:pStyle w:val="Bezproreda"/>
              <w:jc w:val="center"/>
              <w:rPr>
                <w:rFonts w:ascii="Arial" w:hAnsi="Arial" w:cs="Arial"/>
                <w:b/>
                <w:color w:val="BFBFBF" w:themeColor="background1" w:themeShade="BF"/>
                <w:sz w:val="20"/>
                <w:szCs w:val="20"/>
              </w:rPr>
            </w:pPr>
          </w:p>
          <w:p w:rsidR="00EC7983" w:rsidRPr="004B7D2A" w:rsidRDefault="00EC7983" w:rsidP="00EC7983">
            <w:pPr>
              <w:pStyle w:val="Bezproreda"/>
              <w:jc w:val="center"/>
              <w:rPr>
                <w:rFonts w:ascii="Arial" w:hAnsi="Arial" w:cs="Arial"/>
                <w:b/>
                <w:sz w:val="20"/>
                <w:szCs w:val="20"/>
              </w:rPr>
            </w:pPr>
            <w:r w:rsidRPr="004B7D2A">
              <w:rPr>
                <w:rFonts w:ascii="Arial" w:hAnsi="Arial" w:cs="Arial"/>
                <w:b/>
                <w:sz w:val="20"/>
                <w:szCs w:val="20"/>
              </w:rPr>
              <w:t>REPUBLIKA HRVATSKA</w:t>
            </w:r>
          </w:p>
          <w:p w:rsidR="00EC7983" w:rsidRPr="004B7D2A" w:rsidRDefault="00EC7983" w:rsidP="00EC7983">
            <w:pPr>
              <w:pStyle w:val="Bezproreda"/>
              <w:jc w:val="center"/>
              <w:rPr>
                <w:rFonts w:ascii="Arial" w:hAnsi="Arial" w:cs="Arial"/>
                <w:b/>
                <w:sz w:val="20"/>
                <w:szCs w:val="20"/>
              </w:rPr>
            </w:pPr>
            <w:r w:rsidRPr="004B7D2A">
              <w:rPr>
                <w:rFonts w:ascii="Arial" w:hAnsi="Arial" w:cs="Arial"/>
                <w:b/>
                <w:sz w:val="20"/>
                <w:szCs w:val="20"/>
              </w:rPr>
              <w:t>ZADARSKA ŽUPANIJA</w:t>
            </w:r>
          </w:p>
          <w:p w:rsidR="00EC7983" w:rsidRPr="004B7D2A" w:rsidRDefault="00EC7983" w:rsidP="00EC7983">
            <w:pPr>
              <w:pStyle w:val="Bezproreda"/>
              <w:jc w:val="center"/>
              <w:rPr>
                <w:rFonts w:ascii="Arial" w:hAnsi="Arial" w:cs="Arial"/>
                <w:b/>
                <w:sz w:val="20"/>
                <w:szCs w:val="20"/>
              </w:rPr>
            </w:pPr>
            <w:r w:rsidRPr="004B7D2A">
              <w:rPr>
                <w:rFonts w:ascii="Arial" w:hAnsi="Arial" w:cs="Arial"/>
                <w:b/>
                <w:sz w:val="20"/>
                <w:szCs w:val="20"/>
              </w:rPr>
              <w:t>GRAD BIOGRAD NA MORU</w:t>
            </w:r>
          </w:p>
          <w:p w:rsidR="00EC7983" w:rsidRPr="004B7D2A" w:rsidRDefault="00EC7983" w:rsidP="00EC7983">
            <w:pPr>
              <w:pStyle w:val="Bezproreda"/>
              <w:jc w:val="center"/>
              <w:rPr>
                <w:rFonts w:ascii="Arial" w:hAnsi="Arial" w:cs="Arial"/>
                <w:color w:val="BFBFBF" w:themeColor="background1" w:themeShade="BF"/>
                <w:sz w:val="20"/>
                <w:szCs w:val="20"/>
              </w:rPr>
            </w:pPr>
          </w:p>
        </w:tc>
      </w:tr>
    </w:tbl>
    <w:p w:rsidR="00EC7983" w:rsidRPr="004B7D2A" w:rsidRDefault="00EC7983" w:rsidP="00EC7983">
      <w:pPr>
        <w:rPr>
          <w:rFonts w:ascii="Arial" w:hAnsi="Arial" w:cs="Arial"/>
          <w:sz w:val="20"/>
          <w:szCs w:val="20"/>
        </w:rPr>
      </w:pPr>
    </w:p>
    <w:p w:rsidR="00EC7983" w:rsidRPr="004B7D2A" w:rsidRDefault="00EC7983" w:rsidP="00EC7983">
      <w:pPr>
        <w:rPr>
          <w:rFonts w:ascii="Arial" w:hAnsi="Arial" w:cs="Arial"/>
          <w:sz w:val="20"/>
          <w:szCs w:val="20"/>
        </w:rPr>
      </w:pPr>
    </w:p>
    <w:p w:rsidR="00EC7983" w:rsidRPr="004B7D2A"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4B7D2A" w:rsidRDefault="00C13A86" w:rsidP="00EC7983">
      <w:pPr>
        <w:rPr>
          <w:rFonts w:ascii="Arial" w:hAnsi="Arial" w:cs="Arial"/>
          <w:sz w:val="20"/>
          <w:szCs w:val="20"/>
        </w:rPr>
      </w:pPr>
    </w:p>
    <w:p w:rsidR="00EC7983" w:rsidRPr="004B7D2A" w:rsidRDefault="00EC7983" w:rsidP="00EC7983">
      <w:pPr>
        <w:rPr>
          <w:rFonts w:ascii="Arial" w:hAnsi="Arial" w:cs="Arial"/>
          <w:sz w:val="20"/>
          <w:szCs w:val="20"/>
        </w:rPr>
      </w:pPr>
    </w:p>
    <w:p w:rsidR="00EC7983" w:rsidRPr="004B7D2A"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4B7D2A" w:rsidTr="00EC7983">
        <w:tc>
          <w:tcPr>
            <w:tcW w:w="2235" w:type="dxa"/>
            <w:vMerge w:val="restart"/>
            <w:vAlign w:val="center"/>
          </w:tcPr>
          <w:p w:rsidR="00EC7983" w:rsidRPr="004B7D2A" w:rsidRDefault="00EC7983" w:rsidP="00EC7983">
            <w:pPr>
              <w:pStyle w:val="Bezproreda"/>
              <w:jc w:val="center"/>
              <w:rPr>
                <w:rFonts w:ascii="Arial" w:hAnsi="Arial" w:cs="Arial"/>
                <w:b/>
                <w:sz w:val="20"/>
                <w:szCs w:val="20"/>
              </w:rPr>
            </w:pPr>
            <w:r w:rsidRPr="004B7D2A">
              <w:rPr>
                <w:rFonts w:ascii="Arial" w:hAnsi="Arial" w:cs="Arial"/>
                <w:b/>
                <w:sz w:val="20"/>
                <w:szCs w:val="20"/>
              </w:rPr>
              <w:t>Prilog: 9</w:t>
            </w:r>
          </w:p>
        </w:tc>
        <w:tc>
          <w:tcPr>
            <w:tcW w:w="7053" w:type="dxa"/>
          </w:tcPr>
          <w:p w:rsidR="00EC7983" w:rsidRPr="004B7D2A" w:rsidRDefault="00EC7983" w:rsidP="00EC7983">
            <w:pPr>
              <w:pStyle w:val="Bezproreda"/>
              <w:rPr>
                <w:rFonts w:ascii="Arial" w:hAnsi="Arial" w:cs="Arial"/>
                <w:b/>
                <w:sz w:val="20"/>
                <w:szCs w:val="20"/>
              </w:rPr>
            </w:pPr>
          </w:p>
          <w:p w:rsidR="00EC7983" w:rsidRPr="004B7D2A" w:rsidRDefault="00EC7983" w:rsidP="00EC7983">
            <w:pPr>
              <w:pStyle w:val="Bezproreda"/>
              <w:rPr>
                <w:rFonts w:ascii="Arial" w:hAnsi="Arial" w:cs="Arial"/>
                <w:b/>
                <w:sz w:val="20"/>
                <w:szCs w:val="20"/>
              </w:rPr>
            </w:pPr>
            <w:r w:rsidRPr="004B7D2A">
              <w:rPr>
                <w:rFonts w:ascii="Arial" w:hAnsi="Arial" w:cs="Arial"/>
                <w:b/>
                <w:sz w:val="20"/>
                <w:szCs w:val="20"/>
              </w:rPr>
              <w:t>GODIŠNJI IZVJEŠTAJ O IZVRŠENJU PRORAČUNA GRADA BIOGRADA NA MORU ZA 2022. GODINU</w:t>
            </w:r>
          </w:p>
          <w:p w:rsidR="00EC7983" w:rsidRPr="004B7D2A" w:rsidRDefault="00EC7983" w:rsidP="00EC7983">
            <w:pPr>
              <w:pStyle w:val="Bezproreda"/>
              <w:rPr>
                <w:rFonts w:ascii="Arial" w:hAnsi="Arial" w:cs="Arial"/>
                <w:b/>
                <w:sz w:val="20"/>
                <w:szCs w:val="20"/>
              </w:rPr>
            </w:pPr>
          </w:p>
        </w:tc>
      </w:tr>
      <w:tr w:rsidR="00EC7983" w:rsidRPr="004B7D2A" w:rsidTr="00EC7983">
        <w:tc>
          <w:tcPr>
            <w:tcW w:w="2235" w:type="dxa"/>
            <w:vMerge/>
          </w:tcPr>
          <w:p w:rsidR="00EC7983" w:rsidRPr="004B7D2A" w:rsidRDefault="00EC7983" w:rsidP="00EC7983">
            <w:pPr>
              <w:pStyle w:val="Bezproreda"/>
              <w:rPr>
                <w:rFonts w:ascii="Arial" w:hAnsi="Arial" w:cs="Arial"/>
                <w:sz w:val="20"/>
                <w:szCs w:val="20"/>
              </w:rPr>
            </w:pPr>
          </w:p>
        </w:tc>
        <w:tc>
          <w:tcPr>
            <w:tcW w:w="7053" w:type="dxa"/>
          </w:tcPr>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b/>
                <w:sz w:val="20"/>
                <w:szCs w:val="20"/>
              </w:rPr>
            </w:pPr>
            <w:r w:rsidRPr="004B7D2A">
              <w:rPr>
                <w:rFonts w:ascii="Arial" w:hAnsi="Arial" w:cs="Arial"/>
                <w:b/>
                <w:sz w:val="20"/>
                <w:szCs w:val="20"/>
              </w:rPr>
              <w:t>Izvještaj o zaduživanju na domaćem i stranom tržištu novca i kapitala</w:t>
            </w:r>
          </w:p>
          <w:p w:rsidR="00EC7983" w:rsidRPr="004B7D2A" w:rsidRDefault="00EC7983" w:rsidP="00EC7983">
            <w:pPr>
              <w:pStyle w:val="Bezproreda"/>
              <w:rPr>
                <w:rFonts w:ascii="Arial" w:hAnsi="Arial" w:cs="Arial"/>
                <w:sz w:val="20"/>
                <w:szCs w:val="20"/>
              </w:rPr>
            </w:pPr>
          </w:p>
        </w:tc>
      </w:tr>
    </w:tbl>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Default="00EC7983" w:rsidP="00EC7983">
      <w:pPr>
        <w:pStyle w:val="Bezproreda"/>
        <w:rPr>
          <w:rFonts w:ascii="Arial" w:hAnsi="Arial" w:cs="Arial"/>
          <w:sz w:val="20"/>
          <w:szCs w:val="20"/>
        </w:rPr>
      </w:pPr>
    </w:p>
    <w:p w:rsidR="000D1964" w:rsidRPr="004B7D2A" w:rsidRDefault="000D1964"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rPr>
          <w:rFonts w:ascii="Arial" w:hAnsi="Arial" w:cs="Arial"/>
          <w:sz w:val="20"/>
          <w:szCs w:val="20"/>
        </w:rPr>
      </w:pPr>
    </w:p>
    <w:tbl>
      <w:tblPr>
        <w:tblStyle w:val="Reetkatablice"/>
        <w:tblW w:w="10065" w:type="dxa"/>
        <w:tblInd w:w="-431" w:type="dxa"/>
        <w:tblLook w:val="04A0" w:firstRow="1" w:lastRow="0" w:firstColumn="1" w:lastColumn="0" w:noHBand="0" w:noVBand="1"/>
      </w:tblPr>
      <w:tblGrid>
        <w:gridCol w:w="2892"/>
        <w:gridCol w:w="3204"/>
        <w:gridCol w:w="3969"/>
      </w:tblGrid>
      <w:tr w:rsidR="00EC7983" w:rsidRPr="004B7D2A" w:rsidTr="00EC7983">
        <w:tc>
          <w:tcPr>
            <w:tcW w:w="2892" w:type="dxa"/>
            <w:tcBorders>
              <w:top w:val="single" w:sz="4" w:space="0" w:color="auto"/>
              <w:left w:val="single" w:sz="4" w:space="0" w:color="auto"/>
              <w:bottom w:val="single" w:sz="4" w:space="0" w:color="auto"/>
              <w:right w:val="single" w:sz="4" w:space="0" w:color="auto"/>
            </w:tcBorders>
          </w:tcPr>
          <w:p w:rsidR="00EC7983" w:rsidRPr="004B7D2A" w:rsidRDefault="00EC7983" w:rsidP="00EC7983">
            <w:pPr>
              <w:pStyle w:val="Bezproreda"/>
              <w:rPr>
                <w:rFonts w:ascii="Arial" w:hAnsi="Arial" w:cs="Arial"/>
                <w:sz w:val="20"/>
                <w:szCs w:val="20"/>
              </w:rPr>
            </w:pPr>
          </w:p>
          <w:p w:rsidR="00EC7983" w:rsidRPr="004B7D2A" w:rsidRDefault="00EC7983" w:rsidP="00EC7983">
            <w:pPr>
              <w:pStyle w:val="Bezproreda"/>
              <w:jc w:val="center"/>
              <w:rPr>
                <w:rFonts w:ascii="Arial" w:hAnsi="Arial" w:cs="Arial"/>
                <w:sz w:val="20"/>
                <w:szCs w:val="20"/>
              </w:rPr>
            </w:pPr>
            <w:r w:rsidRPr="004B7D2A">
              <w:rPr>
                <w:rFonts w:ascii="Arial" w:hAnsi="Arial" w:cs="Arial"/>
                <w:sz w:val="20"/>
                <w:szCs w:val="20"/>
              </w:rPr>
              <w:t>KLASA: 400-01/23-04/01</w:t>
            </w:r>
          </w:p>
          <w:p w:rsidR="00EC7983" w:rsidRPr="004B7D2A" w:rsidRDefault="00EC7983" w:rsidP="00EC7983">
            <w:pPr>
              <w:pStyle w:val="Bezproreda"/>
              <w:rPr>
                <w:rFonts w:ascii="Arial" w:hAnsi="Arial" w:cs="Arial"/>
                <w:sz w:val="20"/>
                <w:szCs w:val="20"/>
              </w:rPr>
            </w:pPr>
          </w:p>
        </w:tc>
        <w:tc>
          <w:tcPr>
            <w:tcW w:w="3204" w:type="dxa"/>
            <w:tcBorders>
              <w:top w:val="single" w:sz="4" w:space="0" w:color="auto"/>
              <w:left w:val="single" w:sz="4" w:space="0" w:color="auto"/>
              <w:bottom w:val="single" w:sz="4" w:space="0" w:color="auto"/>
              <w:right w:val="single" w:sz="4" w:space="0" w:color="auto"/>
            </w:tcBorders>
          </w:tcPr>
          <w:p w:rsidR="00EC7983" w:rsidRPr="004B7D2A" w:rsidRDefault="00EC7983" w:rsidP="00EC7983">
            <w:pPr>
              <w:pStyle w:val="Bezproreda"/>
              <w:jc w:val="center"/>
              <w:rPr>
                <w:rFonts w:ascii="Arial" w:hAnsi="Arial" w:cs="Arial"/>
                <w:sz w:val="20"/>
                <w:szCs w:val="20"/>
              </w:rPr>
            </w:pPr>
          </w:p>
          <w:p w:rsidR="00EC7983" w:rsidRPr="004B7D2A" w:rsidRDefault="00EC7983" w:rsidP="00EC7983">
            <w:pPr>
              <w:pStyle w:val="Bezproreda"/>
              <w:jc w:val="center"/>
              <w:rPr>
                <w:rFonts w:ascii="Arial" w:hAnsi="Arial" w:cs="Arial"/>
                <w:sz w:val="20"/>
                <w:szCs w:val="20"/>
              </w:rPr>
            </w:pPr>
            <w:r w:rsidRPr="004B7D2A">
              <w:rPr>
                <w:rFonts w:ascii="Arial" w:hAnsi="Arial" w:cs="Arial"/>
                <w:sz w:val="20"/>
                <w:szCs w:val="20"/>
              </w:rPr>
              <w:t>URBROJ: 2198-16-01-23-2</w:t>
            </w:r>
          </w:p>
        </w:tc>
        <w:tc>
          <w:tcPr>
            <w:tcW w:w="3969" w:type="dxa"/>
            <w:tcBorders>
              <w:top w:val="single" w:sz="4" w:space="0" w:color="auto"/>
              <w:left w:val="single" w:sz="4" w:space="0" w:color="auto"/>
              <w:bottom w:val="single" w:sz="4" w:space="0" w:color="auto"/>
              <w:right w:val="single" w:sz="4" w:space="0" w:color="auto"/>
            </w:tcBorders>
          </w:tcPr>
          <w:p w:rsidR="00EC7983" w:rsidRPr="004B7D2A" w:rsidRDefault="00EC7983" w:rsidP="00EC7983">
            <w:pPr>
              <w:pStyle w:val="Bezproreda"/>
              <w:jc w:val="center"/>
              <w:rPr>
                <w:rFonts w:ascii="Arial" w:hAnsi="Arial" w:cs="Arial"/>
                <w:sz w:val="20"/>
                <w:szCs w:val="20"/>
                <w:highlight w:val="yellow"/>
              </w:rPr>
            </w:pPr>
          </w:p>
          <w:p w:rsidR="00EC7983" w:rsidRPr="004B7D2A" w:rsidRDefault="00EC7983" w:rsidP="00EC7983">
            <w:pPr>
              <w:pStyle w:val="Bezproreda"/>
              <w:jc w:val="center"/>
              <w:rPr>
                <w:rFonts w:ascii="Arial" w:hAnsi="Arial" w:cs="Arial"/>
                <w:sz w:val="20"/>
                <w:szCs w:val="20"/>
                <w:highlight w:val="yellow"/>
              </w:rPr>
            </w:pPr>
            <w:r w:rsidRPr="004B7D2A">
              <w:rPr>
                <w:rFonts w:ascii="Arial" w:hAnsi="Arial" w:cs="Arial"/>
                <w:sz w:val="20"/>
                <w:szCs w:val="20"/>
              </w:rPr>
              <w:t>Biograd na Moru, 18. travnja 2023.</w:t>
            </w:r>
          </w:p>
        </w:tc>
      </w:tr>
    </w:tbl>
    <w:p w:rsidR="00EC7983" w:rsidRDefault="00EC7983" w:rsidP="00EC7983">
      <w:pPr>
        <w:pStyle w:val="Bezproreda"/>
        <w:rPr>
          <w:rFonts w:ascii="Arial" w:hAnsi="Arial" w:cs="Arial"/>
          <w:sz w:val="20"/>
          <w:szCs w:val="20"/>
        </w:rPr>
      </w:pPr>
    </w:p>
    <w:p w:rsidR="000D1964" w:rsidRPr="00950116" w:rsidRDefault="000D1964" w:rsidP="000D1964">
      <w:pPr>
        <w:pStyle w:val="Bezproreda"/>
        <w:jc w:val="center"/>
        <w:rPr>
          <w:rFonts w:ascii="Arial" w:hAnsi="Arial" w:cs="Arial"/>
          <w:b/>
          <w:sz w:val="20"/>
        </w:rPr>
      </w:pPr>
      <w:r w:rsidRPr="00950116">
        <w:rPr>
          <w:rFonts w:ascii="Arial" w:hAnsi="Arial" w:cs="Arial"/>
          <w:b/>
          <w:sz w:val="20"/>
        </w:rPr>
        <w:lastRenderedPageBreak/>
        <w:t>IZVJEŠTAJ</w:t>
      </w:r>
    </w:p>
    <w:p w:rsidR="000D1964" w:rsidRPr="00950116" w:rsidRDefault="000D1964" w:rsidP="000D1964">
      <w:pPr>
        <w:pStyle w:val="Bezproreda"/>
        <w:jc w:val="center"/>
        <w:rPr>
          <w:rFonts w:ascii="Arial" w:hAnsi="Arial" w:cs="Arial"/>
          <w:b/>
          <w:sz w:val="20"/>
        </w:rPr>
      </w:pPr>
      <w:r w:rsidRPr="00950116">
        <w:rPr>
          <w:rFonts w:ascii="Arial" w:hAnsi="Arial" w:cs="Arial"/>
          <w:b/>
          <w:sz w:val="20"/>
        </w:rPr>
        <w:t>o zaduživanju na domaćem i stranom tržištu novca i kapitala u 2022. godini</w:t>
      </w:r>
    </w:p>
    <w:p w:rsidR="000D1964" w:rsidRPr="00950116" w:rsidRDefault="000D1964" w:rsidP="000D1964">
      <w:pPr>
        <w:pStyle w:val="Bezproreda"/>
        <w:rPr>
          <w:rFonts w:ascii="Arial" w:hAnsi="Arial" w:cs="Arial"/>
          <w:b/>
          <w:sz w:val="20"/>
        </w:rPr>
      </w:pPr>
    </w:p>
    <w:p w:rsidR="000D1964" w:rsidRPr="00950116" w:rsidRDefault="000D1964" w:rsidP="000D1964">
      <w:pPr>
        <w:jc w:val="both"/>
        <w:rPr>
          <w:rFonts w:ascii="Arial" w:hAnsi="Arial" w:cs="Arial"/>
          <w:sz w:val="20"/>
          <w:szCs w:val="22"/>
        </w:rPr>
      </w:pPr>
      <w:r w:rsidRPr="00950116">
        <w:rPr>
          <w:rFonts w:ascii="Arial" w:hAnsi="Arial" w:cs="Arial"/>
          <w:sz w:val="20"/>
          <w:szCs w:val="22"/>
        </w:rPr>
        <w:t>Zaduživanje jedinice lokalne i područne (regionalne) samouprave, kao i izdavanje jamstava i suglasnosti pravnim osobama u većinskom izravnom ili neizravnom vlasništvu jedinice lokalne i područne (regionalne) samouprave i ustanovama čiji je osnivač, regulirano je Zakonom o proračunu (Narodne novine, broj 144/21.).</w:t>
      </w:r>
    </w:p>
    <w:p w:rsidR="000D1964" w:rsidRPr="00950116" w:rsidRDefault="000D1964" w:rsidP="000D1964">
      <w:pPr>
        <w:jc w:val="both"/>
        <w:rPr>
          <w:rFonts w:ascii="Arial" w:hAnsi="Arial" w:cs="Arial"/>
          <w:sz w:val="20"/>
          <w:szCs w:val="22"/>
        </w:rPr>
      </w:pPr>
    </w:p>
    <w:p w:rsidR="000D1964" w:rsidRPr="00950116" w:rsidRDefault="000D1964" w:rsidP="000D1964">
      <w:pPr>
        <w:jc w:val="both"/>
        <w:rPr>
          <w:rFonts w:ascii="Arial" w:hAnsi="Arial" w:cs="Arial"/>
          <w:sz w:val="20"/>
          <w:szCs w:val="22"/>
        </w:rPr>
      </w:pPr>
      <w:r w:rsidRPr="00950116">
        <w:rPr>
          <w:rFonts w:ascii="Arial" w:hAnsi="Arial" w:cs="Arial"/>
          <w:sz w:val="20"/>
          <w:szCs w:val="22"/>
        </w:rPr>
        <w:t>Jedinica lokalne i područne (regionalne) samouprave se prema članku 119. Zakona o proračunu (Narodne novine, broj 144/21.) može kratkoročno zaduživati isključivo za premošćivanje jaza nastalog zbog različite dinamike priljeva sredstava i dospijeća obveza. Kratkoročno zaduženje može trajati najduže do 12 mjeseci bez mogućnosti daljnjeg reprograma ili zatvaranja postojećih obveza po kratkoročnim kreditima ili zajmovima uzimanjem novih kratkoročnih kredita ili zajmova.</w:t>
      </w:r>
    </w:p>
    <w:p w:rsidR="000D1964" w:rsidRPr="00950116" w:rsidRDefault="000D1964" w:rsidP="000D1964">
      <w:pPr>
        <w:jc w:val="both"/>
        <w:rPr>
          <w:rFonts w:ascii="Arial" w:hAnsi="Arial" w:cs="Arial"/>
          <w:sz w:val="20"/>
          <w:szCs w:val="22"/>
        </w:rPr>
      </w:pPr>
    </w:p>
    <w:p w:rsidR="000D1964" w:rsidRPr="00950116" w:rsidRDefault="000D1964" w:rsidP="000D1964">
      <w:pPr>
        <w:jc w:val="both"/>
        <w:rPr>
          <w:rFonts w:ascii="Arial" w:hAnsi="Arial" w:cs="Arial"/>
          <w:sz w:val="20"/>
          <w:szCs w:val="22"/>
        </w:rPr>
      </w:pPr>
      <w:r w:rsidRPr="00950116">
        <w:rPr>
          <w:rFonts w:ascii="Arial" w:hAnsi="Arial" w:cs="Arial"/>
          <w:sz w:val="20"/>
          <w:szCs w:val="22"/>
        </w:rPr>
        <w:t>Jedinice lokalne i područne (regionalne) samouprave mogu se dugoročno zaduživati:</w:t>
      </w:r>
    </w:p>
    <w:p w:rsidR="000D1964" w:rsidRPr="00950116" w:rsidRDefault="000D1964" w:rsidP="00BD6122">
      <w:pPr>
        <w:pStyle w:val="Odlomakpopisa"/>
        <w:numPr>
          <w:ilvl w:val="0"/>
          <w:numId w:val="19"/>
        </w:numPr>
        <w:jc w:val="both"/>
        <w:rPr>
          <w:rFonts w:ascii="Arial" w:hAnsi="Arial" w:cs="Arial"/>
          <w:sz w:val="20"/>
          <w:szCs w:val="22"/>
        </w:rPr>
      </w:pPr>
      <w:r w:rsidRPr="00950116">
        <w:rPr>
          <w:rFonts w:ascii="Arial" w:hAnsi="Arial" w:cs="Arial"/>
          <w:sz w:val="20"/>
          <w:szCs w:val="22"/>
        </w:rPr>
        <w:t>za investiciju koja se financira iz njezina proračuna;</w:t>
      </w:r>
    </w:p>
    <w:p w:rsidR="000D1964" w:rsidRPr="00950116" w:rsidRDefault="000D1964" w:rsidP="00BD6122">
      <w:pPr>
        <w:pStyle w:val="Odlomakpopisa"/>
        <w:numPr>
          <w:ilvl w:val="0"/>
          <w:numId w:val="19"/>
        </w:numPr>
        <w:jc w:val="both"/>
        <w:rPr>
          <w:rFonts w:ascii="Arial" w:hAnsi="Arial" w:cs="Arial"/>
          <w:sz w:val="20"/>
          <w:szCs w:val="22"/>
        </w:rPr>
      </w:pPr>
      <w:r w:rsidRPr="00950116">
        <w:rPr>
          <w:rFonts w:ascii="Arial" w:hAnsi="Arial" w:cs="Arial"/>
          <w:sz w:val="20"/>
          <w:szCs w:val="22"/>
        </w:rPr>
        <w:t>za kapitalne pomoći trgovačkim društvima i drugim pravnim osobama u većinskom vlasništvu ili suvlasništvu jedinica lokalne i područne (regionalne) samouprave radi realizacije investicije koja se sufinancira iz fondova Europske unije i za investicije odnosno projekte čija je realizacija utvrđena posebnim propisima;</w:t>
      </w:r>
    </w:p>
    <w:p w:rsidR="000D1964" w:rsidRPr="00950116" w:rsidRDefault="000D1964" w:rsidP="00BD6122">
      <w:pPr>
        <w:pStyle w:val="Odlomakpopisa"/>
        <w:numPr>
          <w:ilvl w:val="0"/>
          <w:numId w:val="19"/>
        </w:numPr>
        <w:jc w:val="both"/>
        <w:rPr>
          <w:rFonts w:ascii="Arial" w:hAnsi="Arial" w:cs="Arial"/>
          <w:sz w:val="20"/>
          <w:szCs w:val="22"/>
        </w:rPr>
      </w:pPr>
      <w:r w:rsidRPr="00950116">
        <w:rPr>
          <w:rFonts w:ascii="Arial" w:hAnsi="Arial" w:cs="Arial"/>
          <w:sz w:val="20"/>
          <w:szCs w:val="22"/>
        </w:rPr>
        <w:t>za financiranje obveza na ime povrata neprihvatljivih troškova koji su bili sufinancirani iz fondova Europske unije.</w:t>
      </w:r>
    </w:p>
    <w:p w:rsidR="000D1964" w:rsidRPr="00950116" w:rsidRDefault="000D1964" w:rsidP="000D1964">
      <w:pPr>
        <w:jc w:val="both"/>
        <w:rPr>
          <w:rFonts w:ascii="Arial" w:hAnsi="Arial" w:cs="Arial"/>
          <w:sz w:val="20"/>
          <w:szCs w:val="22"/>
        </w:rPr>
      </w:pPr>
      <w:r w:rsidRPr="00950116">
        <w:rPr>
          <w:rFonts w:ascii="Arial" w:hAnsi="Arial" w:cs="Arial"/>
          <w:sz w:val="20"/>
          <w:szCs w:val="22"/>
        </w:rPr>
        <w:t xml:space="preserve">Zakonom o proračunu ograničena je visina zaduživanja tako da ukupna godišnja obveza za otplatu kredita i zajmova (godišnji anuitet) jedinice lokalne i područne (regionalne) samouprave smije iznositi najviše 20% ostvarenih izvornih  prihoda u godini koja prethodi zaduživanju. Pod ostvarenim proračunskim prihodima podrazumijevaju se ostvareni prihodi jedinice lokalne i područne (regionalne) samouprave umanjeni za prihode od od pomoći iz inozemstva i od subjekata unutar općeg proračuna te donacija i s osnove dodatnih udjela u porezu na dohodak za financiranje decentraliziranih funkcija. </w:t>
      </w:r>
    </w:p>
    <w:p w:rsidR="000D1964" w:rsidRPr="00950116" w:rsidRDefault="000D1964" w:rsidP="000D1964">
      <w:pPr>
        <w:pStyle w:val="Bezproreda"/>
        <w:jc w:val="both"/>
        <w:rPr>
          <w:rFonts w:ascii="Arial" w:hAnsi="Arial" w:cs="Arial"/>
          <w:b/>
          <w:sz w:val="20"/>
          <w:u w:val="single"/>
        </w:rPr>
      </w:pPr>
    </w:p>
    <w:p w:rsidR="000D1964" w:rsidRPr="00950116" w:rsidRDefault="000D1964" w:rsidP="000D1964">
      <w:pPr>
        <w:pStyle w:val="Bezproreda"/>
        <w:jc w:val="both"/>
        <w:rPr>
          <w:rFonts w:ascii="Arial" w:hAnsi="Arial" w:cs="Arial"/>
          <w:b/>
          <w:sz w:val="20"/>
          <w:u w:val="single"/>
        </w:rPr>
      </w:pPr>
      <w:r w:rsidRPr="00950116">
        <w:rPr>
          <w:rFonts w:ascii="Arial" w:hAnsi="Arial" w:cs="Arial"/>
          <w:b/>
          <w:sz w:val="20"/>
          <w:u w:val="single"/>
        </w:rPr>
        <w:t>Dugoročno zaduživanje</w:t>
      </w:r>
    </w:p>
    <w:p w:rsidR="000D1964" w:rsidRPr="00950116" w:rsidRDefault="000D1964" w:rsidP="000D1964">
      <w:pPr>
        <w:pStyle w:val="Bezproreda"/>
        <w:jc w:val="both"/>
        <w:rPr>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na Moru se nije dugoročno zaduživao u 2022. godini.</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 xml:space="preserve">Dugoročno zaduženje Grada Biograda na Moru je bilo kod Erste&amp;Steiermarkische bank d.d. i dalje aktualno kod Zagrebačke banke d.d. </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na Moru se dugoročno zadužio u 2018. i 2019. godini u iznosu od 5.138.000,00 kuna kod Erste&amp;Steiermarkische bank d.d., isplata u dvije rate - 3.000.000,00 u 2018. godini, - 2.138.000,00 u 2019. godini. Rok otplate bio je 36 mjeseci te je zadnja rata dospijela 01. travnja 2022. godine. Na dan 31. prosinca 2022. stanje duga po kreditu kod Erste&amp;Steiermarkische bank d.d. iznosi 0,00 kuna, a  u 2022. godini ukupno je otplaćeno 927.694,45 kuna glavnice po navedenom kreditu.</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se dugoročno zadužio u 2019. godine kod Zagrebačke banke d.d. za financiranje izgradnje Poduzetničkog inkubatora (33.000.000,00 kuna). Rok otplate kredita za izgradnju poduzetničkog inkubatora je najkasnije do 31. prosinca 2030. godine (rok otplate je 120 mjeseci).</w:t>
      </w:r>
    </w:p>
    <w:p w:rsidR="000D1964" w:rsidRPr="00950116" w:rsidRDefault="000D1964" w:rsidP="000D1964">
      <w:pPr>
        <w:pStyle w:val="Bezproreda"/>
        <w:jc w:val="both"/>
        <w:rPr>
          <w:rFonts w:ascii="Arial" w:hAnsi="Arial" w:cs="Arial"/>
          <w:sz w:val="20"/>
        </w:rPr>
      </w:pPr>
      <w:r w:rsidRPr="00950116">
        <w:rPr>
          <w:rFonts w:ascii="Arial" w:hAnsi="Arial" w:cs="Arial"/>
          <w:sz w:val="20"/>
        </w:rPr>
        <w:t xml:space="preserve">S obzirom da su se sredstva koristila iz kredita po privremenim situacijama, stanje iskorištenog kredita za Poduzetnički inkubator na dan 31. prosinca 2020. godine iznosilo je 28.166.903,29 kuna te ono predstavlja konačan iznos glavnice kredita. </w:t>
      </w:r>
    </w:p>
    <w:p w:rsidR="000D1964" w:rsidRPr="00950116" w:rsidRDefault="000D1964" w:rsidP="000D1964">
      <w:pPr>
        <w:pStyle w:val="Bezproreda"/>
        <w:jc w:val="both"/>
        <w:rPr>
          <w:rFonts w:ascii="Arial" w:hAnsi="Arial" w:cs="Arial"/>
          <w:sz w:val="20"/>
        </w:rPr>
      </w:pPr>
      <w:r w:rsidRPr="00950116">
        <w:rPr>
          <w:rFonts w:ascii="Arial" w:hAnsi="Arial" w:cs="Arial"/>
          <w:sz w:val="20"/>
        </w:rPr>
        <w:t>Otplata kredita za izgradnju poduzetničkog inkubatora počela je 31. siječnja 2021. godine.</w:t>
      </w:r>
    </w:p>
    <w:p w:rsidR="000D1964" w:rsidRPr="00950116" w:rsidRDefault="000D1964" w:rsidP="000D1964">
      <w:pPr>
        <w:pStyle w:val="Bezproreda"/>
        <w:jc w:val="both"/>
        <w:rPr>
          <w:rFonts w:ascii="Arial" w:hAnsi="Arial" w:cs="Arial"/>
          <w:sz w:val="20"/>
        </w:rPr>
      </w:pPr>
      <w:r w:rsidRPr="00950116">
        <w:rPr>
          <w:rFonts w:ascii="Arial" w:hAnsi="Arial" w:cs="Arial"/>
          <w:sz w:val="20"/>
        </w:rPr>
        <w:t>Na dan 31. prosinca 2022. godine stanje duga po kreditu kod Zagrebačke banke d.d. za izgradnju Poduzetničkog inkubatora  iznosilo je 22.768.246,69, a ukupno je otplaćeno 5.398.656,60 kuna.</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 xml:space="preserve">Grad Biograd se također dugoročno zadužio u 2019. godine kod Zagrebačke banke d.d. za financiranje uređenja Turističkog informativnog centra (2.500.000,00 kuna). Rok otplate kredita za financiranje uređenja Turističko informativnog centra je najkasnije do 30. lipnja 2026. godine (rok otplate je 72 mjeseca).  </w:t>
      </w:r>
    </w:p>
    <w:p w:rsidR="000D1964" w:rsidRPr="00950116" w:rsidRDefault="000D1964" w:rsidP="000D1964">
      <w:pPr>
        <w:pStyle w:val="Bezproreda"/>
        <w:jc w:val="both"/>
        <w:rPr>
          <w:rFonts w:ascii="Arial" w:hAnsi="Arial" w:cs="Arial"/>
          <w:sz w:val="20"/>
        </w:rPr>
      </w:pPr>
      <w:r w:rsidRPr="00950116">
        <w:rPr>
          <w:rFonts w:ascii="Arial" w:hAnsi="Arial" w:cs="Arial"/>
          <w:sz w:val="20"/>
        </w:rPr>
        <w:t>Sredstva iz kredita su se koristila po privremenim situacijama te je stanje na dan 31. prosinca 2020. godine iznosilo  2.427.536,22 kuna te ono predstavlja konačan iznos glavnice.</w:t>
      </w:r>
    </w:p>
    <w:p w:rsidR="000D1964" w:rsidRPr="00950116" w:rsidRDefault="000D1964" w:rsidP="000D1964">
      <w:pPr>
        <w:pStyle w:val="Bezproreda"/>
        <w:jc w:val="both"/>
        <w:rPr>
          <w:rFonts w:ascii="Arial" w:hAnsi="Arial" w:cs="Arial"/>
          <w:sz w:val="20"/>
        </w:rPr>
      </w:pPr>
      <w:r w:rsidRPr="00950116">
        <w:rPr>
          <w:rFonts w:ascii="Arial" w:hAnsi="Arial" w:cs="Arial"/>
          <w:sz w:val="20"/>
        </w:rPr>
        <w:t xml:space="preserve">Na dan 31. prosinca 2022. godine stanje duga po kreditu kod Zagrebačke banke za uređenje Turističkog informativnog centra iznosilo je 1.557.970,86 kuna, a ukupno je otplaćeno 869.565,36 kuna. </w:t>
      </w:r>
    </w:p>
    <w:p w:rsidR="000D1964" w:rsidRPr="00950116" w:rsidRDefault="000D1964" w:rsidP="000D1964">
      <w:pPr>
        <w:pStyle w:val="Bezproreda"/>
        <w:jc w:val="both"/>
        <w:rPr>
          <w:rFonts w:ascii="Arial" w:hAnsi="Arial" w:cs="Arial"/>
          <w:sz w:val="20"/>
        </w:rPr>
      </w:pPr>
      <w:r w:rsidRPr="00950116">
        <w:rPr>
          <w:rFonts w:ascii="Arial" w:hAnsi="Arial" w:cs="Arial"/>
          <w:sz w:val="20"/>
        </w:rPr>
        <w:lastRenderedPageBreak/>
        <w:t>Stanje duga prema dugoročnom kreditnom zaduženju na dan 31. prosinca 2022. godine je iznosilo 24.326.217,55 kuna.</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na Moru je dao suglasnost za zaduživanje proračunskom korisniku Javnoj vatrogasnoj postrojbi Grada Biograda na Moru za zaduživanje – financijski leasing za nabavu vatrogasnog vozila. Iznos leasinga je 2.050.000,00 kuna koji će se vratiti u roku od 5 godina. Uplaćeno je učešće u iznosu od 410.000,00 kuna. Ukupno je otplaćeno 1.322.528,84 kuna leasinga te stanje na dan 31. prosinca 2022. godine iznosi 727.471,16 kuna.</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na Moru i proračunski korisnici imaju dug prema dugoročnom kreditnom zaduženju na dan 31. prosinca 2022. godine u iznosu od 25.053.688,71 kuna.</w:t>
      </w:r>
    </w:p>
    <w:p w:rsidR="000D1964" w:rsidRPr="00950116" w:rsidRDefault="000D1964" w:rsidP="000D1964">
      <w:pPr>
        <w:pStyle w:val="Bezproreda"/>
        <w:jc w:val="both"/>
        <w:rPr>
          <w:rFonts w:ascii="Arial" w:hAnsi="Arial" w:cs="Arial"/>
          <w:b/>
          <w:sz w:val="20"/>
          <w:u w:val="single"/>
        </w:rPr>
      </w:pPr>
    </w:p>
    <w:p w:rsidR="000D1964" w:rsidRPr="00950116" w:rsidRDefault="000D1964" w:rsidP="000D1964">
      <w:pPr>
        <w:pStyle w:val="Bezproreda"/>
        <w:jc w:val="both"/>
        <w:rPr>
          <w:rFonts w:ascii="Arial" w:hAnsi="Arial" w:cs="Arial"/>
          <w:b/>
          <w:sz w:val="20"/>
          <w:u w:val="single"/>
        </w:rPr>
      </w:pPr>
      <w:r w:rsidRPr="00950116">
        <w:rPr>
          <w:rFonts w:ascii="Arial" w:hAnsi="Arial" w:cs="Arial"/>
          <w:b/>
          <w:sz w:val="20"/>
          <w:u w:val="single"/>
        </w:rPr>
        <w:t>Kratkoročno zaduživanje</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na Moru se u 2022. godini kratkoročno zadužio u vidu prekoračenja po računu kod OTP banke, za premošćivanje jaza nastalog zbog različite dinamike priljeva sredstava i dospijeća obveza, i to u iznosu do 1.000.000,00 kuna, s rokom vraćanja do 01. prosinca 2022. godine, uz uobičajene kamate i naknadu poslovne banke.</w:t>
      </w:r>
    </w:p>
    <w:p w:rsidR="000D1964" w:rsidRPr="00950116" w:rsidRDefault="000D1964" w:rsidP="000D1964">
      <w:pPr>
        <w:pStyle w:val="Bezproreda"/>
        <w:jc w:val="both"/>
        <w:rPr>
          <w:rFonts w:ascii="Arial" w:hAnsi="Arial" w:cs="Arial"/>
          <w:sz w:val="20"/>
        </w:rPr>
      </w:pPr>
    </w:p>
    <w:p w:rsidR="000D1964" w:rsidRPr="00950116" w:rsidRDefault="000D1964" w:rsidP="000D1964">
      <w:pPr>
        <w:pStyle w:val="Bezproreda"/>
        <w:jc w:val="both"/>
        <w:rPr>
          <w:rFonts w:ascii="Arial" w:hAnsi="Arial" w:cs="Arial"/>
          <w:sz w:val="20"/>
        </w:rPr>
      </w:pPr>
      <w:r w:rsidRPr="00950116">
        <w:rPr>
          <w:rFonts w:ascii="Arial" w:hAnsi="Arial" w:cs="Arial"/>
          <w:sz w:val="20"/>
        </w:rPr>
        <w:t>Grad Biograd na Moru se kratkoročno zadužio kod Partner banke d.d. u iznosu od 4.300.000,00 kuna, a sredstva su bila namijenjena za premošćivanje jaza nastalog zbog različite dinamike priljeva i dospijeća obveza. U 2022. godini je otplaćeno 500.000,00 kuna te je stanje kratkoročnog zaduženja na dan 31. prosinca 2022. godine bilo 3.800.000,00 kuna. Dospijeće glavnice po ovom zaduženju je do 01. ožujka 2023. godine</w:t>
      </w:r>
    </w:p>
    <w:p w:rsidR="000D1964" w:rsidRPr="00950116" w:rsidRDefault="000D1964" w:rsidP="000D1964">
      <w:pPr>
        <w:pStyle w:val="Bezproreda"/>
        <w:jc w:val="both"/>
        <w:rPr>
          <w:rFonts w:ascii="Arial" w:hAnsi="Arial" w:cs="Arial"/>
          <w:sz w:val="20"/>
        </w:rPr>
      </w:pPr>
    </w:p>
    <w:p w:rsidR="00C13A86" w:rsidRDefault="000A6DC7" w:rsidP="00C13A86">
      <w:pPr>
        <w:jc w:val="center"/>
        <w:rPr>
          <w:rFonts w:ascii="Arial" w:hAnsi="Arial" w:cs="Arial"/>
        </w:rPr>
      </w:pPr>
      <w:r>
        <w:rPr>
          <w:rFonts w:ascii="Arial" w:hAnsi="Arial" w:cs="Arial"/>
        </w:rPr>
        <w:t>***</w:t>
      </w: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Default="000D1964" w:rsidP="00C13A86">
      <w:pPr>
        <w:jc w:val="center"/>
        <w:rPr>
          <w:rFonts w:ascii="Arial" w:hAnsi="Arial" w:cs="Arial"/>
        </w:rPr>
      </w:pPr>
    </w:p>
    <w:p w:rsidR="000D1964" w:rsidRPr="00C13A86" w:rsidRDefault="000D1964" w:rsidP="00C13A86">
      <w:pPr>
        <w:jc w:val="center"/>
        <w:rPr>
          <w:rFonts w:ascii="Arial" w:hAnsi="Arial" w:cs="Arial"/>
        </w:rPr>
      </w:pPr>
    </w:p>
    <w:tbl>
      <w:tblPr>
        <w:tblStyle w:val="Reetkatablice"/>
        <w:tblW w:w="0" w:type="auto"/>
        <w:tblInd w:w="0" w:type="dxa"/>
        <w:tblLook w:val="04A0" w:firstRow="1" w:lastRow="0" w:firstColumn="1" w:lastColumn="0" w:noHBand="0" w:noVBand="1"/>
      </w:tblPr>
      <w:tblGrid>
        <w:gridCol w:w="1505"/>
        <w:gridCol w:w="7556"/>
      </w:tblGrid>
      <w:tr w:rsidR="00EC7983" w:rsidRPr="004C610D" w:rsidTr="00EC7983">
        <w:tc>
          <w:tcPr>
            <w:tcW w:w="1526" w:type="dxa"/>
          </w:tcPr>
          <w:p w:rsidR="00EC7983" w:rsidRPr="004C610D" w:rsidRDefault="00EC7983" w:rsidP="00EC7983">
            <w:pPr>
              <w:pStyle w:val="Bezproreda"/>
              <w:jc w:val="center"/>
              <w:rPr>
                <w:rFonts w:ascii="Arial" w:hAnsi="Arial" w:cs="Arial"/>
                <w:noProof/>
                <w:color w:val="BFBFBF" w:themeColor="background1" w:themeShade="BF"/>
                <w:sz w:val="20"/>
                <w:szCs w:val="20"/>
                <w:lang w:eastAsia="hr-HR"/>
              </w:rPr>
            </w:pPr>
          </w:p>
          <w:p w:rsidR="00EC7983" w:rsidRPr="004C610D" w:rsidRDefault="00EC7983" w:rsidP="00EC7983">
            <w:pPr>
              <w:pStyle w:val="Bezproreda"/>
              <w:jc w:val="center"/>
              <w:rPr>
                <w:rFonts w:ascii="Arial" w:hAnsi="Arial" w:cs="Arial"/>
                <w:color w:val="BFBFBF" w:themeColor="background1" w:themeShade="BF"/>
                <w:sz w:val="20"/>
                <w:szCs w:val="20"/>
              </w:rPr>
            </w:pPr>
            <w:r w:rsidRPr="004C610D">
              <w:rPr>
                <w:rFonts w:ascii="Arial" w:hAnsi="Arial" w:cs="Arial"/>
                <w:noProof/>
                <w:color w:val="BFBFBF" w:themeColor="background1" w:themeShade="BF"/>
                <w:sz w:val="20"/>
                <w:szCs w:val="20"/>
              </w:rPr>
              <w:drawing>
                <wp:inline distT="0" distB="0" distL="0" distR="0" wp14:anchorId="457CE780" wp14:editId="63C9FB94">
                  <wp:extent cx="409575" cy="447675"/>
                  <wp:effectExtent l="0" t="0" r="9525" b="9525"/>
                  <wp:docPr id="12" name="Slika 12"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4C610D" w:rsidRDefault="00EC7983" w:rsidP="00EC7983">
            <w:pPr>
              <w:pStyle w:val="Bezproreda"/>
              <w:jc w:val="center"/>
              <w:rPr>
                <w:rFonts w:ascii="Arial" w:hAnsi="Arial" w:cs="Arial"/>
                <w:b/>
                <w:color w:val="BFBFBF" w:themeColor="background1" w:themeShade="BF"/>
                <w:sz w:val="20"/>
                <w:szCs w:val="20"/>
              </w:rPr>
            </w:pPr>
          </w:p>
          <w:p w:rsidR="00EC7983" w:rsidRPr="004C610D" w:rsidRDefault="00EC7983" w:rsidP="00EC7983">
            <w:pPr>
              <w:pStyle w:val="Bezproreda"/>
              <w:jc w:val="center"/>
              <w:rPr>
                <w:rFonts w:ascii="Arial" w:hAnsi="Arial" w:cs="Arial"/>
                <w:b/>
                <w:sz w:val="20"/>
                <w:szCs w:val="20"/>
              </w:rPr>
            </w:pPr>
            <w:r w:rsidRPr="004C610D">
              <w:rPr>
                <w:rFonts w:ascii="Arial" w:hAnsi="Arial" w:cs="Arial"/>
                <w:b/>
                <w:sz w:val="20"/>
                <w:szCs w:val="20"/>
              </w:rPr>
              <w:t>REPUBLIKA HRVATSKA</w:t>
            </w:r>
          </w:p>
          <w:p w:rsidR="00EC7983" w:rsidRPr="004C610D" w:rsidRDefault="00EC7983" w:rsidP="00EC7983">
            <w:pPr>
              <w:pStyle w:val="Bezproreda"/>
              <w:jc w:val="center"/>
              <w:rPr>
                <w:rFonts w:ascii="Arial" w:hAnsi="Arial" w:cs="Arial"/>
                <w:b/>
                <w:sz w:val="20"/>
                <w:szCs w:val="20"/>
              </w:rPr>
            </w:pPr>
            <w:r w:rsidRPr="004C610D">
              <w:rPr>
                <w:rFonts w:ascii="Arial" w:hAnsi="Arial" w:cs="Arial"/>
                <w:b/>
                <w:sz w:val="20"/>
                <w:szCs w:val="20"/>
              </w:rPr>
              <w:t>ZADARSKA ŽUPANIJA</w:t>
            </w:r>
          </w:p>
          <w:p w:rsidR="00EC7983" w:rsidRPr="004C610D" w:rsidRDefault="00EC7983" w:rsidP="00EC7983">
            <w:pPr>
              <w:pStyle w:val="Bezproreda"/>
              <w:jc w:val="center"/>
              <w:rPr>
                <w:rFonts w:ascii="Arial" w:hAnsi="Arial" w:cs="Arial"/>
                <w:b/>
                <w:sz w:val="20"/>
                <w:szCs w:val="20"/>
              </w:rPr>
            </w:pPr>
            <w:r w:rsidRPr="004C610D">
              <w:rPr>
                <w:rFonts w:ascii="Arial" w:hAnsi="Arial" w:cs="Arial"/>
                <w:b/>
                <w:sz w:val="20"/>
                <w:szCs w:val="20"/>
              </w:rPr>
              <w:t>GRAD BIOGRAD NA MORU</w:t>
            </w:r>
          </w:p>
          <w:p w:rsidR="00EC7983" w:rsidRPr="004C610D" w:rsidRDefault="00EC7983" w:rsidP="00EC7983">
            <w:pPr>
              <w:pStyle w:val="Bezproreda"/>
              <w:jc w:val="center"/>
              <w:rPr>
                <w:rFonts w:ascii="Arial" w:hAnsi="Arial" w:cs="Arial"/>
                <w:color w:val="BFBFBF" w:themeColor="background1" w:themeShade="BF"/>
                <w:sz w:val="20"/>
                <w:szCs w:val="20"/>
              </w:rPr>
            </w:pPr>
          </w:p>
        </w:tc>
      </w:tr>
    </w:tbl>
    <w:p w:rsidR="00EC7983" w:rsidRPr="004C610D" w:rsidRDefault="00EC7983" w:rsidP="00EC7983">
      <w:pPr>
        <w:rPr>
          <w:rFonts w:ascii="Arial" w:hAnsi="Arial" w:cs="Arial"/>
          <w:sz w:val="20"/>
          <w:szCs w:val="20"/>
        </w:rPr>
      </w:pPr>
    </w:p>
    <w:p w:rsidR="00EC7983" w:rsidRPr="004C610D" w:rsidRDefault="00EC7983" w:rsidP="00EC7983">
      <w:pPr>
        <w:rPr>
          <w:rFonts w:ascii="Arial" w:hAnsi="Arial" w:cs="Arial"/>
          <w:sz w:val="20"/>
          <w:szCs w:val="20"/>
        </w:rPr>
      </w:pPr>
    </w:p>
    <w:p w:rsidR="00EC7983" w:rsidRPr="004C610D"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0D1964" w:rsidRDefault="000D1964" w:rsidP="00EC7983">
      <w:pPr>
        <w:rPr>
          <w:rFonts w:ascii="Arial" w:hAnsi="Arial" w:cs="Arial"/>
          <w:sz w:val="20"/>
          <w:szCs w:val="20"/>
        </w:rPr>
      </w:pPr>
    </w:p>
    <w:p w:rsidR="000D1964" w:rsidRDefault="000D1964" w:rsidP="00EC7983">
      <w:pPr>
        <w:rPr>
          <w:rFonts w:ascii="Arial" w:hAnsi="Arial" w:cs="Arial"/>
          <w:sz w:val="20"/>
          <w:szCs w:val="20"/>
        </w:rPr>
      </w:pPr>
    </w:p>
    <w:p w:rsidR="00C13A86" w:rsidRDefault="00C13A86" w:rsidP="00EC7983">
      <w:pPr>
        <w:rPr>
          <w:rFonts w:ascii="Arial" w:hAnsi="Arial" w:cs="Arial"/>
          <w:sz w:val="20"/>
          <w:szCs w:val="20"/>
        </w:rPr>
      </w:pPr>
    </w:p>
    <w:p w:rsidR="000D1964" w:rsidRDefault="000D1964" w:rsidP="00EC7983">
      <w:pPr>
        <w:rPr>
          <w:rFonts w:ascii="Arial" w:hAnsi="Arial" w:cs="Arial"/>
          <w:sz w:val="20"/>
          <w:szCs w:val="20"/>
        </w:rPr>
      </w:pPr>
    </w:p>
    <w:p w:rsidR="000D1964" w:rsidRPr="004C610D" w:rsidRDefault="000D1964" w:rsidP="00EC7983">
      <w:pPr>
        <w:rPr>
          <w:rFonts w:ascii="Arial" w:hAnsi="Arial" w:cs="Arial"/>
          <w:sz w:val="20"/>
          <w:szCs w:val="20"/>
        </w:rPr>
      </w:pPr>
    </w:p>
    <w:p w:rsidR="00EC7983" w:rsidRPr="004C610D" w:rsidRDefault="00EC7983" w:rsidP="00EC7983">
      <w:pPr>
        <w:rPr>
          <w:rFonts w:ascii="Arial" w:hAnsi="Arial" w:cs="Arial"/>
          <w:sz w:val="20"/>
          <w:szCs w:val="20"/>
        </w:rPr>
      </w:pPr>
    </w:p>
    <w:p w:rsidR="00EC7983" w:rsidRPr="004C610D"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4C610D" w:rsidTr="00EC7983">
        <w:tc>
          <w:tcPr>
            <w:tcW w:w="2235" w:type="dxa"/>
            <w:vMerge w:val="restart"/>
            <w:vAlign w:val="center"/>
          </w:tcPr>
          <w:p w:rsidR="00EC7983" w:rsidRPr="004C610D" w:rsidRDefault="00EC7983" w:rsidP="00EC7983">
            <w:pPr>
              <w:pStyle w:val="Bezproreda"/>
              <w:jc w:val="center"/>
              <w:rPr>
                <w:rFonts w:ascii="Arial" w:hAnsi="Arial" w:cs="Arial"/>
                <w:b/>
                <w:sz w:val="20"/>
                <w:szCs w:val="20"/>
              </w:rPr>
            </w:pPr>
            <w:r w:rsidRPr="004C610D">
              <w:rPr>
                <w:rFonts w:ascii="Arial" w:hAnsi="Arial" w:cs="Arial"/>
                <w:b/>
                <w:sz w:val="20"/>
                <w:szCs w:val="20"/>
              </w:rPr>
              <w:t>Prilog: 10</w:t>
            </w:r>
          </w:p>
        </w:tc>
        <w:tc>
          <w:tcPr>
            <w:tcW w:w="7053" w:type="dxa"/>
          </w:tcPr>
          <w:p w:rsidR="00EC7983" w:rsidRPr="004C610D" w:rsidRDefault="00EC7983" w:rsidP="00EC7983">
            <w:pPr>
              <w:pStyle w:val="Bezproreda"/>
              <w:rPr>
                <w:rFonts w:ascii="Arial" w:hAnsi="Arial" w:cs="Arial"/>
                <w:b/>
                <w:sz w:val="20"/>
                <w:szCs w:val="20"/>
              </w:rPr>
            </w:pPr>
          </w:p>
          <w:p w:rsidR="00EC7983" w:rsidRPr="004C610D" w:rsidRDefault="00EC7983" w:rsidP="00EC7983">
            <w:pPr>
              <w:pStyle w:val="Bezproreda"/>
              <w:rPr>
                <w:rFonts w:ascii="Arial" w:hAnsi="Arial" w:cs="Arial"/>
                <w:b/>
                <w:sz w:val="20"/>
                <w:szCs w:val="20"/>
              </w:rPr>
            </w:pPr>
            <w:r w:rsidRPr="004C610D">
              <w:rPr>
                <w:rFonts w:ascii="Arial" w:hAnsi="Arial" w:cs="Arial"/>
                <w:b/>
                <w:sz w:val="20"/>
                <w:szCs w:val="20"/>
              </w:rPr>
              <w:t>GODIŠNJI IZVJEŠTAJ O IZVRŠENJU PRORAČUNA GRADA BIOGRADA NA MORU ZA 2022. GODINU</w:t>
            </w:r>
          </w:p>
          <w:p w:rsidR="00EC7983" w:rsidRPr="004C610D" w:rsidRDefault="00EC7983" w:rsidP="00EC7983">
            <w:pPr>
              <w:pStyle w:val="Bezproreda"/>
              <w:rPr>
                <w:rFonts w:ascii="Arial" w:hAnsi="Arial" w:cs="Arial"/>
                <w:b/>
                <w:sz w:val="20"/>
                <w:szCs w:val="20"/>
              </w:rPr>
            </w:pPr>
          </w:p>
        </w:tc>
      </w:tr>
      <w:tr w:rsidR="00EC7983" w:rsidRPr="004C610D" w:rsidTr="00EC7983">
        <w:tc>
          <w:tcPr>
            <w:tcW w:w="2235" w:type="dxa"/>
            <w:vMerge/>
          </w:tcPr>
          <w:p w:rsidR="00EC7983" w:rsidRPr="004C610D" w:rsidRDefault="00EC7983" w:rsidP="00EC7983">
            <w:pPr>
              <w:pStyle w:val="Bezproreda"/>
              <w:rPr>
                <w:rFonts w:ascii="Arial" w:hAnsi="Arial" w:cs="Arial"/>
                <w:sz w:val="20"/>
                <w:szCs w:val="20"/>
              </w:rPr>
            </w:pPr>
          </w:p>
        </w:tc>
        <w:tc>
          <w:tcPr>
            <w:tcW w:w="7053" w:type="dxa"/>
          </w:tcPr>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b/>
                <w:sz w:val="20"/>
                <w:szCs w:val="20"/>
              </w:rPr>
            </w:pPr>
            <w:r w:rsidRPr="004C610D">
              <w:rPr>
                <w:rFonts w:ascii="Arial" w:hAnsi="Arial" w:cs="Arial"/>
                <w:b/>
                <w:sz w:val="20"/>
                <w:szCs w:val="20"/>
              </w:rPr>
              <w:t>Izvještaj o korištenju proračunske zalihe</w:t>
            </w:r>
          </w:p>
          <w:p w:rsidR="00EC7983" w:rsidRPr="004C610D" w:rsidRDefault="00EC7983" w:rsidP="00EC7983">
            <w:pPr>
              <w:pStyle w:val="Bezproreda"/>
              <w:rPr>
                <w:rFonts w:ascii="Arial" w:hAnsi="Arial" w:cs="Arial"/>
                <w:sz w:val="20"/>
                <w:szCs w:val="20"/>
              </w:rPr>
            </w:pPr>
          </w:p>
        </w:tc>
      </w:tr>
    </w:tbl>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p>
    <w:tbl>
      <w:tblPr>
        <w:tblStyle w:val="Reetkatablice"/>
        <w:tblW w:w="9292" w:type="dxa"/>
        <w:tblInd w:w="0" w:type="dxa"/>
        <w:tblLook w:val="04A0" w:firstRow="1" w:lastRow="0" w:firstColumn="1" w:lastColumn="0" w:noHBand="0" w:noVBand="1"/>
      </w:tblPr>
      <w:tblGrid>
        <w:gridCol w:w="2689"/>
        <w:gridCol w:w="2910"/>
        <w:gridCol w:w="3693"/>
      </w:tblGrid>
      <w:tr w:rsidR="00EC7983" w:rsidRPr="004C610D" w:rsidTr="00EC7983">
        <w:tc>
          <w:tcPr>
            <w:tcW w:w="2689" w:type="dxa"/>
          </w:tcPr>
          <w:p w:rsidR="00EC7983" w:rsidRPr="004C610D" w:rsidRDefault="00EC7983" w:rsidP="00EC7983">
            <w:pPr>
              <w:pStyle w:val="Bezproreda"/>
              <w:rPr>
                <w:rFonts w:ascii="Arial" w:hAnsi="Arial" w:cs="Arial"/>
                <w:sz w:val="20"/>
                <w:szCs w:val="20"/>
              </w:rPr>
            </w:pPr>
          </w:p>
          <w:p w:rsidR="00EC7983" w:rsidRPr="004C610D" w:rsidRDefault="00EC7983" w:rsidP="00EC7983">
            <w:pPr>
              <w:pStyle w:val="Bezproreda"/>
              <w:rPr>
                <w:rFonts w:ascii="Arial" w:hAnsi="Arial" w:cs="Arial"/>
                <w:sz w:val="20"/>
                <w:szCs w:val="20"/>
              </w:rPr>
            </w:pPr>
            <w:r w:rsidRPr="004C610D">
              <w:rPr>
                <w:rFonts w:ascii="Arial" w:hAnsi="Arial" w:cs="Arial"/>
                <w:sz w:val="20"/>
                <w:szCs w:val="20"/>
              </w:rPr>
              <w:t>KLASA. 400-01/23-04/01</w:t>
            </w:r>
          </w:p>
          <w:p w:rsidR="00EC7983" w:rsidRPr="004C610D" w:rsidRDefault="00EC7983" w:rsidP="00EC7983">
            <w:pPr>
              <w:pStyle w:val="Bezproreda"/>
              <w:rPr>
                <w:rFonts w:ascii="Arial" w:hAnsi="Arial" w:cs="Arial"/>
                <w:sz w:val="20"/>
                <w:szCs w:val="20"/>
              </w:rPr>
            </w:pPr>
          </w:p>
        </w:tc>
        <w:tc>
          <w:tcPr>
            <w:tcW w:w="2910" w:type="dxa"/>
          </w:tcPr>
          <w:p w:rsidR="00EC7983" w:rsidRPr="004C610D" w:rsidRDefault="00EC7983" w:rsidP="00EC7983">
            <w:pPr>
              <w:pStyle w:val="Bezproreda"/>
              <w:jc w:val="center"/>
              <w:rPr>
                <w:rFonts w:ascii="Arial" w:hAnsi="Arial" w:cs="Arial"/>
                <w:sz w:val="20"/>
                <w:szCs w:val="20"/>
              </w:rPr>
            </w:pPr>
          </w:p>
          <w:p w:rsidR="00EC7983" w:rsidRPr="004C610D" w:rsidRDefault="00EC7983" w:rsidP="00EC7983">
            <w:pPr>
              <w:pStyle w:val="Bezproreda"/>
              <w:jc w:val="center"/>
              <w:rPr>
                <w:rFonts w:ascii="Arial" w:hAnsi="Arial" w:cs="Arial"/>
                <w:sz w:val="20"/>
                <w:szCs w:val="20"/>
              </w:rPr>
            </w:pPr>
            <w:r w:rsidRPr="004C610D">
              <w:rPr>
                <w:rFonts w:ascii="Arial" w:hAnsi="Arial" w:cs="Arial"/>
                <w:sz w:val="20"/>
                <w:szCs w:val="20"/>
              </w:rPr>
              <w:t>URBROJ: 2198-16-01-23-2</w:t>
            </w:r>
          </w:p>
        </w:tc>
        <w:tc>
          <w:tcPr>
            <w:tcW w:w="3693" w:type="dxa"/>
          </w:tcPr>
          <w:p w:rsidR="00EC7983" w:rsidRPr="004C610D" w:rsidRDefault="00EC7983" w:rsidP="00EC7983">
            <w:pPr>
              <w:pStyle w:val="Bezproreda"/>
              <w:jc w:val="center"/>
              <w:rPr>
                <w:rFonts w:ascii="Arial" w:hAnsi="Arial" w:cs="Arial"/>
                <w:sz w:val="20"/>
                <w:szCs w:val="20"/>
                <w:highlight w:val="yellow"/>
              </w:rPr>
            </w:pPr>
          </w:p>
          <w:p w:rsidR="00EC7983" w:rsidRPr="004C610D" w:rsidRDefault="00EC7983" w:rsidP="00EC7983">
            <w:pPr>
              <w:pStyle w:val="Bezproreda"/>
              <w:jc w:val="center"/>
              <w:rPr>
                <w:rFonts w:ascii="Arial" w:hAnsi="Arial" w:cs="Arial"/>
                <w:sz w:val="20"/>
                <w:szCs w:val="20"/>
                <w:highlight w:val="yellow"/>
              </w:rPr>
            </w:pPr>
            <w:r w:rsidRPr="004C610D">
              <w:rPr>
                <w:rFonts w:ascii="Arial" w:hAnsi="Arial" w:cs="Arial"/>
                <w:sz w:val="20"/>
                <w:szCs w:val="20"/>
              </w:rPr>
              <w:t>Biograd na Moru, 18. travnja 2023.</w:t>
            </w:r>
          </w:p>
        </w:tc>
      </w:tr>
    </w:tbl>
    <w:p w:rsidR="00EC7983" w:rsidRPr="004C610D" w:rsidRDefault="00EC7983" w:rsidP="00EC7983">
      <w:pPr>
        <w:pStyle w:val="Bezproreda"/>
        <w:rPr>
          <w:rFonts w:ascii="Arial" w:hAnsi="Arial" w:cs="Arial"/>
          <w:sz w:val="20"/>
          <w:szCs w:val="20"/>
        </w:rPr>
      </w:pPr>
    </w:p>
    <w:p w:rsidR="000D1964" w:rsidRPr="000D1964" w:rsidRDefault="000D1964" w:rsidP="000D1964">
      <w:pPr>
        <w:jc w:val="center"/>
        <w:rPr>
          <w:rFonts w:ascii="Arial" w:hAnsi="Arial" w:cs="Arial"/>
          <w:b/>
          <w:bCs/>
          <w:sz w:val="20"/>
        </w:rPr>
      </w:pPr>
    </w:p>
    <w:p w:rsidR="000D1964" w:rsidRPr="000D1964" w:rsidRDefault="000D1964" w:rsidP="000D1964">
      <w:pPr>
        <w:jc w:val="center"/>
        <w:rPr>
          <w:rFonts w:ascii="Arial" w:hAnsi="Arial" w:cs="Arial"/>
          <w:b/>
          <w:bCs/>
          <w:sz w:val="20"/>
        </w:rPr>
      </w:pPr>
      <w:r w:rsidRPr="000D1964">
        <w:rPr>
          <w:rFonts w:ascii="Arial" w:hAnsi="Arial" w:cs="Arial"/>
          <w:b/>
          <w:bCs/>
          <w:sz w:val="20"/>
        </w:rPr>
        <w:t>IZVJEŠĆE</w:t>
      </w:r>
    </w:p>
    <w:p w:rsidR="000D1964" w:rsidRPr="000D1964" w:rsidRDefault="000D1964" w:rsidP="000D1964">
      <w:pPr>
        <w:jc w:val="center"/>
        <w:rPr>
          <w:rFonts w:ascii="Arial" w:hAnsi="Arial" w:cs="Arial"/>
          <w:b/>
          <w:bCs/>
          <w:sz w:val="20"/>
        </w:rPr>
      </w:pPr>
      <w:r w:rsidRPr="000D1964">
        <w:rPr>
          <w:rFonts w:ascii="Arial" w:hAnsi="Arial" w:cs="Arial"/>
          <w:b/>
          <w:bCs/>
          <w:sz w:val="20"/>
        </w:rPr>
        <w:t>o utrošku proračunske zalihe u 2022. godini</w:t>
      </w:r>
    </w:p>
    <w:p w:rsidR="000D1964" w:rsidRPr="00A22EA5" w:rsidRDefault="000D1964" w:rsidP="000D1964">
      <w:pPr>
        <w:rPr>
          <w:rFonts w:ascii="Arial" w:hAnsi="Arial" w:cs="Arial"/>
          <w:b/>
          <w:bCs/>
          <w:sz w:val="18"/>
          <w:szCs w:val="18"/>
        </w:rPr>
      </w:pPr>
    </w:p>
    <w:p w:rsidR="000D1964" w:rsidRDefault="000D1964" w:rsidP="000D1964">
      <w:pPr>
        <w:rPr>
          <w:rFonts w:ascii="Arial" w:hAnsi="Arial" w:cs="Arial"/>
          <w:b/>
          <w:sz w:val="18"/>
          <w:szCs w:val="18"/>
        </w:rPr>
      </w:pPr>
    </w:p>
    <w:p w:rsidR="000D1964" w:rsidRPr="000D1964" w:rsidRDefault="000D1964" w:rsidP="000D1964">
      <w:pPr>
        <w:rPr>
          <w:rFonts w:ascii="Arial" w:hAnsi="Arial" w:cs="Arial"/>
          <w:sz w:val="20"/>
          <w:szCs w:val="22"/>
        </w:rPr>
      </w:pPr>
      <w:r w:rsidRPr="000D1964">
        <w:rPr>
          <w:rFonts w:ascii="Arial" w:hAnsi="Arial" w:cs="Arial"/>
          <w:sz w:val="20"/>
          <w:szCs w:val="22"/>
        </w:rPr>
        <w:t xml:space="preserve">Proračunska zaliha u 2022. godini nije se koristila. </w:t>
      </w:r>
    </w:p>
    <w:p w:rsidR="000D1964" w:rsidRDefault="000D1964" w:rsidP="000D1964">
      <w:pPr>
        <w:rPr>
          <w:rFonts w:ascii="Arial" w:hAnsi="Arial" w:cs="Arial"/>
          <w:sz w:val="18"/>
          <w:szCs w:val="18"/>
        </w:rPr>
      </w:pPr>
    </w:p>
    <w:p w:rsidR="000A6DC7" w:rsidRDefault="000A6DC7" w:rsidP="000A6DC7">
      <w:pPr>
        <w:jc w:val="center"/>
        <w:rPr>
          <w:rFonts w:ascii="Arial" w:hAnsi="Arial" w:cs="Arial"/>
        </w:rPr>
      </w:pPr>
      <w:r>
        <w:rPr>
          <w:rFonts w:ascii="Arial" w:hAnsi="Arial" w:cs="Arial"/>
        </w:rPr>
        <w:t>***</w:t>
      </w: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C13A86" w:rsidRPr="002B6238"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5"/>
        <w:gridCol w:w="7556"/>
      </w:tblGrid>
      <w:tr w:rsidR="00EC7983" w:rsidRPr="002279A7" w:rsidTr="00EC7983">
        <w:tc>
          <w:tcPr>
            <w:tcW w:w="1526" w:type="dxa"/>
          </w:tcPr>
          <w:p w:rsidR="00EC7983" w:rsidRPr="002279A7" w:rsidRDefault="00EC7983" w:rsidP="00EC7983">
            <w:pPr>
              <w:pStyle w:val="Bezproreda"/>
              <w:jc w:val="center"/>
              <w:rPr>
                <w:rFonts w:ascii="Arial" w:hAnsi="Arial" w:cs="Arial"/>
                <w:noProof/>
                <w:color w:val="BFBFBF" w:themeColor="background1" w:themeShade="BF"/>
                <w:sz w:val="20"/>
                <w:szCs w:val="20"/>
                <w:lang w:eastAsia="hr-HR"/>
              </w:rPr>
            </w:pPr>
          </w:p>
          <w:p w:rsidR="00EC7983" w:rsidRPr="002279A7" w:rsidRDefault="00EC7983" w:rsidP="00EC7983">
            <w:pPr>
              <w:pStyle w:val="Bezproreda"/>
              <w:jc w:val="center"/>
              <w:rPr>
                <w:rFonts w:ascii="Arial" w:hAnsi="Arial" w:cs="Arial"/>
                <w:color w:val="BFBFBF" w:themeColor="background1" w:themeShade="BF"/>
                <w:sz w:val="20"/>
                <w:szCs w:val="20"/>
              </w:rPr>
            </w:pPr>
            <w:r w:rsidRPr="002279A7">
              <w:rPr>
                <w:rFonts w:ascii="Arial" w:hAnsi="Arial" w:cs="Arial"/>
                <w:noProof/>
                <w:color w:val="BFBFBF" w:themeColor="background1" w:themeShade="BF"/>
                <w:sz w:val="20"/>
                <w:szCs w:val="20"/>
              </w:rPr>
              <w:drawing>
                <wp:inline distT="0" distB="0" distL="0" distR="0" wp14:anchorId="74856014" wp14:editId="3BC3E863">
                  <wp:extent cx="409575" cy="447675"/>
                  <wp:effectExtent l="0" t="0" r="9525" b="9525"/>
                  <wp:docPr id="13" name="Slika 13" descr="F:\ARHIVA OSNOVNI          FILE        2005 -2008\Grb Grada\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HIVA OSNOVNI          FILE        2005 -2008\Grb Grada\g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7762" w:type="dxa"/>
          </w:tcPr>
          <w:p w:rsidR="00EC7983" w:rsidRPr="002279A7" w:rsidRDefault="00EC7983" w:rsidP="00EC7983">
            <w:pPr>
              <w:pStyle w:val="Bezproreda"/>
              <w:jc w:val="center"/>
              <w:rPr>
                <w:rFonts w:ascii="Arial" w:hAnsi="Arial" w:cs="Arial"/>
                <w:b/>
                <w:color w:val="BFBFBF" w:themeColor="background1" w:themeShade="BF"/>
                <w:sz w:val="20"/>
                <w:szCs w:val="20"/>
              </w:rPr>
            </w:pPr>
          </w:p>
          <w:p w:rsidR="00EC7983" w:rsidRPr="002279A7" w:rsidRDefault="00EC7983" w:rsidP="00EC7983">
            <w:pPr>
              <w:pStyle w:val="Bezproreda"/>
              <w:jc w:val="center"/>
              <w:rPr>
                <w:rFonts w:ascii="Arial" w:hAnsi="Arial" w:cs="Arial"/>
                <w:b/>
                <w:sz w:val="20"/>
                <w:szCs w:val="20"/>
              </w:rPr>
            </w:pPr>
            <w:r w:rsidRPr="002279A7">
              <w:rPr>
                <w:rFonts w:ascii="Arial" w:hAnsi="Arial" w:cs="Arial"/>
                <w:b/>
                <w:sz w:val="20"/>
                <w:szCs w:val="20"/>
              </w:rPr>
              <w:t>REPUBLIKA HRVATSKA</w:t>
            </w:r>
          </w:p>
          <w:p w:rsidR="00EC7983" w:rsidRPr="002279A7" w:rsidRDefault="00EC7983" w:rsidP="00EC7983">
            <w:pPr>
              <w:pStyle w:val="Bezproreda"/>
              <w:jc w:val="center"/>
              <w:rPr>
                <w:rFonts w:ascii="Arial" w:hAnsi="Arial" w:cs="Arial"/>
                <w:b/>
                <w:sz w:val="20"/>
                <w:szCs w:val="20"/>
              </w:rPr>
            </w:pPr>
            <w:r w:rsidRPr="002279A7">
              <w:rPr>
                <w:rFonts w:ascii="Arial" w:hAnsi="Arial" w:cs="Arial"/>
                <w:b/>
                <w:sz w:val="20"/>
                <w:szCs w:val="20"/>
              </w:rPr>
              <w:t>ZADARSKA ŽUPANIJA</w:t>
            </w:r>
          </w:p>
          <w:p w:rsidR="00EC7983" w:rsidRPr="002279A7" w:rsidRDefault="00EC7983" w:rsidP="00EC7983">
            <w:pPr>
              <w:pStyle w:val="Bezproreda"/>
              <w:jc w:val="center"/>
              <w:rPr>
                <w:rFonts w:ascii="Arial" w:hAnsi="Arial" w:cs="Arial"/>
                <w:b/>
                <w:sz w:val="20"/>
                <w:szCs w:val="20"/>
              </w:rPr>
            </w:pPr>
            <w:r w:rsidRPr="002279A7">
              <w:rPr>
                <w:rFonts w:ascii="Arial" w:hAnsi="Arial" w:cs="Arial"/>
                <w:b/>
                <w:sz w:val="20"/>
                <w:szCs w:val="20"/>
              </w:rPr>
              <w:t>GRAD BIOGRAD NA MORU</w:t>
            </w:r>
          </w:p>
          <w:p w:rsidR="00EC7983" w:rsidRPr="002279A7" w:rsidRDefault="00EC7983" w:rsidP="00EC7983">
            <w:pPr>
              <w:pStyle w:val="Bezproreda"/>
              <w:jc w:val="center"/>
              <w:rPr>
                <w:rFonts w:ascii="Arial" w:hAnsi="Arial" w:cs="Arial"/>
                <w:color w:val="BFBFBF" w:themeColor="background1" w:themeShade="BF"/>
                <w:sz w:val="20"/>
                <w:szCs w:val="20"/>
              </w:rPr>
            </w:pPr>
          </w:p>
        </w:tc>
      </w:tr>
    </w:tbl>
    <w:p w:rsidR="00EC7983" w:rsidRPr="002279A7" w:rsidRDefault="00EC7983" w:rsidP="00EC7983">
      <w:pPr>
        <w:rPr>
          <w:rFonts w:ascii="Arial" w:hAnsi="Arial" w:cs="Arial"/>
          <w:sz w:val="20"/>
          <w:szCs w:val="20"/>
        </w:rPr>
      </w:pPr>
    </w:p>
    <w:p w:rsidR="00EC7983" w:rsidRPr="002279A7" w:rsidRDefault="00EC7983" w:rsidP="00EC7983">
      <w:pPr>
        <w:rPr>
          <w:rFonts w:ascii="Arial" w:hAnsi="Arial" w:cs="Arial"/>
          <w:sz w:val="20"/>
          <w:szCs w:val="20"/>
        </w:rPr>
      </w:pPr>
    </w:p>
    <w:p w:rsidR="00EC7983" w:rsidRPr="002279A7" w:rsidRDefault="00EC7983" w:rsidP="00EC7983">
      <w:pPr>
        <w:rPr>
          <w:rFonts w:ascii="Arial" w:hAnsi="Arial" w:cs="Arial"/>
          <w:sz w:val="20"/>
          <w:szCs w:val="20"/>
        </w:rPr>
      </w:pPr>
    </w:p>
    <w:p w:rsidR="00EC7983" w:rsidRPr="002279A7"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2279A7" w:rsidRDefault="00C13A86" w:rsidP="00EC7983">
      <w:pPr>
        <w:rPr>
          <w:rFonts w:ascii="Arial" w:hAnsi="Arial" w:cs="Arial"/>
          <w:sz w:val="20"/>
          <w:szCs w:val="20"/>
        </w:rPr>
      </w:pPr>
    </w:p>
    <w:p w:rsidR="00EC7983" w:rsidRPr="002279A7"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2279A7" w:rsidTr="00EC7983">
        <w:tc>
          <w:tcPr>
            <w:tcW w:w="2235" w:type="dxa"/>
            <w:vMerge w:val="restart"/>
            <w:vAlign w:val="center"/>
          </w:tcPr>
          <w:p w:rsidR="00EC7983" w:rsidRPr="002279A7" w:rsidRDefault="00EC7983" w:rsidP="00EC7983">
            <w:pPr>
              <w:pStyle w:val="Bezproreda"/>
              <w:jc w:val="center"/>
              <w:rPr>
                <w:rFonts w:ascii="Arial" w:hAnsi="Arial" w:cs="Arial"/>
                <w:b/>
                <w:sz w:val="20"/>
                <w:szCs w:val="20"/>
              </w:rPr>
            </w:pPr>
            <w:r w:rsidRPr="002279A7">
              <w:rPr>
                <w:rFonts w:ascii="Arial" w:hAnsi="Arial" w:cs="Arial"/>
                <w:b/>
                <w:sz w:val="20"/>
                <w:szCs w:val="20"/>
              </w:rPr>
              <w:t>Prilog: 11</w:t>
            </w:r>
          </w:p>
        </w:tc>
        <w:tc>
          <w:tcPr>
            <w:tcW w:w="7053" w:type="dxa"/>
          </w:tcPr>
          <w:p w:rsidR="00EC7983" w:rsidRPr="002279A7" w:rsidRDefault="00EC7983" w:rsidP="00EC7983">
            <w:pPr>
              <w:pStyle w:val="Bezproreda"/>
              <w:rPr>
                <w:rFonts w:ascii="Arial" w:hAnsi="Arial" w:cs="Arial"/>
                <w:b/>
                <w:sz w:val="20"/>
                <w:szCs w:val="20"/>
              </w:rPr>
            </w:pPr>
          </w:p>
          <w:p w:rsidR="00EC7983" w:rsidRPr="002279A7" w:rsidRDefault="00EC7983" w:rsidP="00EC7983">
            <w:pPr>
              <w:pStyle w:val="Bezproreda"/>
              <w:rPr>
                <w:rFonts w:ascii="Arial" w:hAnsi="Arial" w:cs="Arial"/>
                <w:b/>
                <w:sz w:val="20"/>
                <w:szCs w:val="20"/>
              </w:rPr>
            </w:pPr>
            <w:r w:rsidRPr="002279A7">
              <w:rPr>
                <w:rFonts w:ascii="Arial" w:hAnsi="Arial" w:cs="Arial"/>
                <w:b/>
                <w:sz w:val="20"/>
                <w:szCs w:val="20"/>
              </w:rPr>
              <w:t>GODIŠNJI IZVJEŠTAJ O IZVRŠENJU PRORAČUNA GRADA BIOGRADA NA MORU ZA 2022. GODINU</w:t>
            </w:r>
          </w:p>
          <w:p w:rsidR="00EC7983" w:rsidRPr="002279A7" w:rsidRDefault="00EC7983" w:rsidP="00EC7983">
            <w:pPr>
              <w:pStyle w:val="Bezproreda"/>
              <w:rPr>
                <w:rFonts w:ascii="Arial" w:hAnsi="Arial" w:cs="Arial"/>
                <w:b/>
                <w:sz w:val="20"/>
                <w:szCs w:val="20"/>
              </w:rPr>
            </w:pPr>
          </w:p>
        </w:tc>
      </w:tr>
      <w:tr w:rsidR="00EC7983" w:rsidRPr="002279A7" w:rsidTr="00EC7983">
        <w:tc>
          <w:tcPr>
            <w:tcW w:w="2235" w:type="dxa"/>
            <w:vMerge/>
          </w:tcPr>
          <w:p w:rsidR="00EC7983" w:rsidRPr="002279A7" w:rsidRDefault="00EC7983" w:rsidP="00EC7983">
            <w:pPr>
              <w:pStyle w:val="Bezproreda"/>
              <w:rPr>
                <w:rFonts w:ascii="Arial" w:hAnsi="Arial" w:cs="Arial"/>
                <w:sz w:val="20"/>
                <w:szCs w:val="20"/>
              </w:rPr>
            </w:pPr>
          </w:p>
        </w:tc>
        <w:tc>
          <w:tcPr>
            <w:tcW w:w="7053" w:type="dxa"/>
          </w:tcPr>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b/>
                <w:sz w:val="20"/>
                <w:szCs w:val="20"/>
              </w:rPr>
            </w:pPr>
            <w:r w:rsidRPr="002279A7">
              <w:rPr>
                <w:rFonts w:ascii="Arial" w:hAnsi="Arial" w:cs="Arial"/>
                <w:b/>
                <w:sz w:val="20"/>
                <w:szCs w:val="20"/>
              </w:rPr>
              <w:t>Izvještaj o danim jamstvima i izdacima po jamstvima</w:t>
            </w:r>
          </w:p>
          <w:p w:rsidR="00EC7983" w:rsidRPr="002279A7" w:rsidRDefault="00EC7983" w:rsidP="00EC7983">
            <w:pPr>
              <w:pStyle w:val="Bezproreda"/>
              <w:rPr>
                <w:rFonts w:ascii="Arial" w:hAnsi="Arial" w:cs="Arial"/>
                <w:sz w:val="20"/>
                <w:szCs w:val="20"/>
              </w:rPr>
            </w:pPr>
          </w:p>
        </w:tc>
      </w:tr>
    </w:tbl>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rPr>
          <w:rFonts w:ascii="Arial" w:hAnsi="Arial" w:cs="Arial"/>
          <w:sz w:val="20"/>
          <w:szCs w:val="20"/>
        </w:rPr>
      </w:pPr>
    </w:p>
    <w:tbl>
      <w:tblPr>
        <w:tblStyle w:val="Reetkatablice"/>
        <w:tblW w:w="9292" w:type="dxa"/>
        <w:tblInd w:w="0" w:type="dxa"/>
        <w:tblLook w:val="04A0" w:firstRow="1" w:lastRow="0" w:firstColumn="1" w:lastColumn="0" w:noHBand="0" w:noVBand="1"/>
      </w:tblPr>
      <w:tblGrid>
        <w:gridCol w:w="2689"/>
        <w:gridCol w:w="2910"/>
        <w:gridCol w:w="3693"/>
      </w:tblGrid>
      <w:tr w:rsidR="00EC7983" w:rsidRPr="002279A7" w:rsidTr="00EC7983">
        <w:tc>
          <w:tcPr>
            <w:tcW w:w="2689" w:type="dxa"/>
          </w:tcPr>
          <w:p w:rsidR="00EC7983" w:rsidRPr="002279A7" w:rsidRDefault="00EC7983" w:rsidP="00EC7983">
            <w:pPr>
              <w:pStyle w:val="Bezproreda"/>
              <w:rPr>
                <w:rFonts w:ascii="Arial" w:hAnsi="Arial" w:cs="Arial"/>
                <w:sz w:val="20"/>
                <w:szCs w:val="20"/>
              </w:rPr>
            </w:pPr>
          </w:p>
          <w:p w:rsidR="00EC7983" w:rsidRPr="002279A7" w:rsidRDefault="00EC7983" w:rsidP="00EC7983">
            <w:pPr>
              <w:pStyle w:val="Bezproreda"/>
              <w:jc w:val="center"/>
              <w:rPr>
                <w:rFonts w:ascii="Arial" w:hAnsi="Arial" w:cs="Arial"/>
                <w:sz w:val="20"/>
                <w:szCs w:val="20"/>
              </w:rPr>
            </w:pPr>
            <w:r w:rsidRPr="002279A7">
              <w:rPr>
                <w:rFonts w:ascii="Arial" w:hAnsi="Arial" w:cs="Arial"/>
                <w:sz w:val="20"/>
                <w:szCs w:val="20"/>
              </w:rPr>
              <w:t>KLASA. 400-01/23-04/01</w:t>
            </w:r>
          </w:p>
          <w:p w:rsidR="00EC7983" w:rsidRPr="002279A7" w:rsidRDefault="00EC7983" w:rsidP="00EC7983">
            <w:pPr>
              <w:pStyle w:val="Bezproreda"/>
              <w:rPr>
                <w:rFonts w:ascii="Arial" w:hAnsi="Arial" w:cs="Arial"/>
                <w:sz w:val="20"/>
                <w:szCs w:val="20"/>
              </w:rPr>
            </w:pPr>
          </w:p>
        </w:tc>
        <w:tc>
          <w:tcPr>
            <w:tcW w:w="2910" w:type="dxa"/>
          </w:tcPr>
          <w:p w:rsidR="00EC7983" w:rsidRPr="002279A7" w:rsidRDefault="00EC7983" w:rsidP="00EC7983">
            <w:pPr>
              <w:pStyle w:val="Bezproreda"/>
              <w:jc w:val="center"/>
              <w:rPr>
                <w:rFonts w:ascii="Arial" w:hAnsi="Arial" w:cs="Arial"/>
                <w:sz w:val="20"/>
                <w:szCs w:val="20"/>
              </w:rPr>
            </w:pPr>
          </w:p>
          <w:p w:rsidR="00EC7983" w:rsidRPr="002279A7" w:rsidRDefault="00EC7983" w:rsidP="00EC7983">
            <w:pPr>
              <w:pStyle w:val="Bezproreda"/>
              <w:jc w:val="center"/>
              <w:rPr>
                <w:rFonts w:ascii="Arial" w:hAnsi="Arial" w:cs="Arial"/>
                <w:sz w:val="20"/>
                <w:szCs w:val="20"/>
              </w:rPr>
            </w:pPr>
            <w:r w:rsidRPr="002279A7">
              <w:rPr>
                <w:rFonts w:ascii="Arial" w:hAnsi="Arial" w:cs="Arial"/>
                <w:sz w:val="20"/>
                <w:szCs w:val="20"/>
              </w:rPr>
              <w:t>URBROJ: 2198-16-01-23-2</w:t>
            </w:r>
          </w:p>
        </w:tc>
        <w:tc>
          <w:tcPr>
            <w:tcW w:w="3693" w:type="dxa"/>
          </w:tcPr>
          <w:p w:rsidR="00EC7983" w:rsidRPr="002279A7" w:rsidRDefault="00EC7983" w:rsidP="00EC7983">
            <w:pPr>
              <w:pStyle w:val="Bezproreda"/>
              <w:jc w:val="center"/>
              <w:rPr>
                <w:rFonts w:ascii="Arial" w:hAnsi="Arial" w:cs="Arial"/>
                <w:sz w:val="20"/>
                <w:szCs w:val="20"/>
                <w:highlight w:val="yellow"/>
              </w:rPr>
            </w:pPr>
          </w:p>
          <w:p w:rsidR="00EC7983" w:rsidRPr="002279A7" w:rsidRDefault="00EC7983" w:rsidP="00EC7983">
            <w:pPr>
              <w:pStyle w:val="Bezproreda"/>
              <w:jc w:val="center"/>
              <w:rPr>
                <w:rFonts w:ascii="Arial" w:hAnsi="Arial" w:cs="Arial"/>
                <w:sz w:val="20"/>
                <w:szCs w:val="20"/>
                <w:highlight w:val="yellow"/>
              </w:rPr>
            </w:pPr>
            <w:r w:rsidRPr="002279A7">
              <w:rPr>
                <w:rFonts w:ascii="Arial" w:hAnsi="Arial" w:cs="Arial"/>
                <w:sz w:val="20"/>
                <w:szCs w:val="20"/>
              </w:rPr>
              <w:t>Biograd na Moru, 18. travnja 2023.</w:t>
            </w:r>
          </w:p>
        </w:tc>
      </w:tr>
    </w:tbl>
    <w:p w:rsidR="00EC7983" w:rsidRDefault="00EC7983" w:rsidP="00EC7983">
      <w:pPr>
        <w:pStyle w:val="Bezproreda"/>
        <w:rPr>
          <w:rFonts w:ascii="Arial" w:hAnsi="Arial" w:cs="Arial"/>
          <w:sz w:val="20"/>
          <w:szCs w:val="20"/>
        </w:rPr>
      </w:pPr>
    </w:p>
    <w:p w:rsidR="000D1964" w:rsidRDefault="000D1964" w:rsidP="00EC7983">
      <w:pPr>
        <w:pStyle w:val="Bezproreda"/>
        <w:rPr>
          <w:rFonts w:ascii="Arial" w:hAnsi="Arial" w:cs="Arial"/>
          <w:sz w:val="20"/>
          <w:szCs w:val="20"/>
        </w:rPr>
      </w:pPr>
    </w:p>
    <w:p w:rsidR="000D1964" w:rsidRPr="00D0162D" w:rsidRDefault="000D1964" w:rsidP="000D1964">
      <w:pPr>
        <w:pStyle w:val="Bezproreda"/>
        <w:jc w:val="center"/>
        <w:rPr>
          <w:rFonts w:ascii="Arial" w:hAnsi="Arial" w:cs="Arial"/>
          <w:b/>
          <w:sz w:val="20"/>
          <w:szCs w:val="20"/>
        </w:rPr>
      </w:pPr>
      <w:r w:rsidRPr="00D0162D">
        <w:rPr>
          <w:rFonts w:ascii="Arial" w:hAnsi="Arial" w:cs="Arial"/>
          <w:b/>
          <w:sz w:val="20"/>
          <w:szCs w:val="20"/>
        </w:rPr>
        <w:t>Izvještaj o danim jamstvima i izdacima po jamstvima</w:t>
      </w:r>
    </w:p>
    <w:p w:rsidR="000D1964" w:rsidRPr="00D0162D" w:rsidRDefault="000D1964" w:rsidP="000D1964">
      <w:pPr>
        <w:rPr>
          <w:rFonts w:ascii="Arial" w:hAnsi="Arial" w:cs="Arial"/>
          <w:sz w:val="20"/>
          <w:szCs w:val="20"/>
        </w:rPr>
      </w:pPr>
    </w:p>
    <w:p w:rsidR="000D1964" w:rsidRPr="00D0162D" w:rsidRDefault="000D1964" w:rsidP="000D1964">
      <w:pPr>
        <w:jc w:val="both"/>
        <w:rPr>
          <w:sz w:val="20"/>
          <w:szCs w:val="20"/>
        </w:rPr>
      </w:pPr>
      <w:r w:rsidRPr="00D0162D">
        <w:rPr>
          <w:rFonts w:ascii="Arial" w:hAnsi="Arial" w:cs="Arial"/>
          <w:sz w:val="20"/>
          <w:szCs w:val="20"/>
        </w:rPr>
        <w:t>Grad Biograd na Moru u 2022. godini nije imao danih jamstava.</w:t>
      </w:r>
    </w:p>
    <w:p w:rsidR="000D1964" w:rsidRDefault="000D1964" w:rsidP="000A6DC7">
      <w:pPr>
        <w:jc w:val="center"/>
        <w:rPr>
          <w:rFonts w:ascii="Arial" w:hAnsi="Arial" w:cs="Arial"/>
        </w:rPr>
      </w:pPr>
    </w:p>
    <w:p w:rsidR="000A6DC7" w:rsidRDefault="000A6DC7" w:rsidP="000A6DC7">
      <w:pPr>
        <w:jc w:val="center"/>
        <w:rPr>
          <w:rFonts w:ascii="Arial" w:hAnsi="Arial" w:cs="Arial"/>
        </w:rPr>
      </w:pPr>
      <w:r>
        <w:rPr>
          <w:rFonts w:ascii="Arial" w:hAnsi="Arial" w:cs="Arial"/>
        </w:rPr>
        <w:t>***</w:t>
      </w:r>
    </w:p>
    <w:p w:rsidR="00C13A86" w:rsidRDefault="00C13A86" w:rsidP="000A6DC7">
      <w:pPr>
        <w:jc w:val="center"/>
        <w:rPr>
          <w:rFonts w:ascii="Arial" w:hAnsi="Arial" w:cs="Arial"/>
        </w:rPr>
      </w:pPr>
    </w:p>
    <w:p w:rsidR="000D1964" w:rsidRDefault="000D1964" w:rsidP="000A6DC7">
      <w:pPr>
        <w:jc w:val="center"/>
        <w:rPr>
          <w:rFonts w:ascii="Arial" w:hAnsi="Arial" w:cs="Arial"/>
        </w:rPr>
      </w:pPr>
    </w:p>
    <w:p w:rsidR="00C13A86" w:rsidRPr="002B6238"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6"/>
        <w:gridCol w:w="7555"/>
      </w:tblGrid>
      <w:tr w:rsidR="00EC7983" w:rsidRPr="004B48EC" w:rsidTr="00EC7983">
        <w:tc>
          <w:tcPr>
            <w:tcW w:w="1526"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jc w:val="center"/>
              <w:rPr>
                <w:rFonts w:ascii="Arial" w:hAnsi="Arial" w:cs="Arial"/>
                <w:noProof/>
                <w:color w:val="BFBFBF" w:themeColor="background1" w:themeShade="BF"/>
                <w:sz w:val="20"/>
                <w:szCs w:val="20"/>
                <w:lang w:eastAsia="hr-HR"/>
              </w:rPr>
            </w:pPr>
          </w:p>
          <w:p w:rsidR="00EC7983" w:rsidRPr="004B48EC" w:rsidRDefault="00EC7983" w:rsidP="00EC7983">
            <w:pPr>
              <w:pStyle w:val="Bezproreda"/>
              <w:jc w:val="center"/>
              <w:rPr>
                <w:rFonts w:ascii="Arial" w:hAnsi="Arial" w:cs="Arial"/>
                <w:color w:val="BFBFBF" w:themeColor="background1" w:themeShade="BF"/>
                <w:sz w:val="20"/>
                <w:szCs w:val="20"/>
              </w:rPr>
            </w:pPr>
            <w:r w:rsidRPr="004B48EC">
              <w:rPr>
                <w:rFonts w:ascii="Arial" w:hAnsi="Arial" w:cs="Arial"/>
                <w:noProof/>
                <w:color w:val="BFBFBF" w:themeColor="background1" w:themeShade="BF"/>
                <w:sz w:val="20"/>
                <w:szCs w:val="20"/>
              </w:rPr>
              <w:drawing>
                <wp:inline distT="0" distB="0" distL="0" distR="0" wp14:anchorId="22811930" wp14:editId="4DB00E98">
                  <wp:extent cx="409575" cy="447675"/>
                  <wp:effectExtent l="19050" t="0" r="9525" b="0"/>
                  <wp:docPr id="14"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a:srcRect/>
                          <a:stretch>
                            <a:fillRect/>
                          </a:stretch>
                        </pic:blipFill>
                        <pic:spPr bwMode="auto">
                          <a:xfrm>
                            <a:off x="0" y="0"/>
                            <a:ext cx="409575" cy="447675"/>
                          </a:xfrm>
                          <a:prstGeom prst="rect">
                            <a:avLst/>
                          </a:prstGeom>
                          <a:noFill/>
                          <a:ln w="9525">
                            <a:noFill/>
                            <a:miter lim="800000"/>
                            <a:headEnd/>
                            <a:tailEnd/>
                          </a:ln>
                        </pic:spPr>
                      </pic:pic>
                    </a:graphicData>
                  </a:graphic>
                </wp:inline>
              </w:drawing>
            </w:r>
          </w:p>
        </w:tc>
        <w:tc>
          <w:tcPr>
            <w:tcW w:w="7762"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jc w:val="center"/>
              <w:rPr>
                <w:rFonts w:ascii="Arial" w:hAnsi="Arial" w:cs="Arial"/>
                <w:b/>
                <w:color w:val="BFBFBF" w:themeColor="background1" w:themeShade="BF"/>
                <w:sz w:val="20"/>
                <w:szCs w:val="20"/>
              </w:rPr>
            </w:pPr>
          </w:p>
          <w:p w:rsidR="00EC7983" w:rsidRPr="004B48EC" w:rsidRDefault="00EC7983" w:rsidP="00EC7983">
            <w:pPr>
              <w:pStyle w:val="Bezproreda"/>
              <w:jc w:val="center"/>
              <w:rPr>
                <w:rFonts w:ascii="Arial" w:hAnsi="Arial" w:cs="Arial"/>
                <w:b/>
                <w:sz w:val="20"/>
                <w:szCs w:val="20"/>
              </w:rPr>
            </w:pPr>
            <w:r w:rsidRPr="004B48EC">
              <w:rPr>
                <w:rFonts w:ascii="Arial" w:hAnsi="Arial" w:cs="Arial"/>
                <w:b/>
                <w:sz w:val="20"/>
                <w:szCs w:val="20"/>
              </w:rPr>
              <w:t>REPUBLIKA HRVATSKA</w:t>
            </w:r>
          </w:p>
          <w:p w:rsidR="00EC7983" w:rsidRPr="004B48EC" w:rsidRDefault="00EC7983" w:rsidP="00EC7983">
            <w:pPr>
              <w:pStyle w:val="Bezproreda"/>
              <w:jc w:val="center"/>
              <w:rPr>
                <w:rFonts w:ascii="Arial" w:hAnsi="Arial" w:cs="Arial"/>
                <w:b/>
                <w:sz w:val="20"/>
                <w:szCs w:val="20"/>
              </w:rPr>
            </w:pPr>
            <w:r w:rsidRPr="004B48EC">
              <w:rPr>
                <w:rFonts w:ascii="Arial" w:hAnsi="Arial" w:cs="Arial"/>
                <w:b/>
                <w:sz w:val="20"/>
                <w:szCs w:val="20"/>
              </w:rPr>
              <w:t>ZADARSKA ŽUPANIJA</w:t>
            </w:r>
          </w:p>
          <w:p w:rsidR="00EC7983" w:rsidRPr="004B48EC" w:rsidRDefault="00EC7983" w:rsidP="00EC7983">
            <w:pPr>
              <w:pStyle w:val="Bezproreda"/>
              <w:jc w:val="center"/>
              <w:rPr>
                <w:rFonts w:ascii="Arial" w:hAnsi="Arial" w:cs="Arial"/>
                <w:b/>
                <w:sz w:val="20"/>
                <w:szCs w:val="20"/>
              </w:rPr>
            </w:pPr>
            <w:r w:rsidRPr="004B48EC">
              <w:rPr>
                <w:rFonts w:ascii="Arial" w:hAnsi="Arial" w:cs="Arial"/>
                <w:b/>
                <w:sz w:val="20"/>
                <w:szCs w:val="20"/>
              </w:rPr>
              <w:t>GRAD BIOGRAD NA MORU</w:t>
            </w:r>
          </w:p>
          <w:p w:rsidR="00EC7983" w:rsidRPr="004B48EC" w:rsidRDefault="00EC7983" w:rsidP="00EC7983">
            <w:pPr>
              <w:pStyle w:val="Bezproreda"/>
              <w:jc w:val="center"/>
              <w:rPr>
                <w:rFonts w:ascii="Arial" w:hAnsi="Arial" w:cs="Arial"/>
                <w:color w:val="BFBFBF" w:themeColor="background1" w:themeShade="BF"/>
                <w:sz w:val="20"/>
                <w:szCs w:val="20"/>
              </w:rPr>
            </w:pPr>
          </w:p>
        </w:tc>
      </w:tr>
    </w:tbl>
    <w:p w:rsidR="00EC7983" w:rsidRPr="004B48EC" w:rsidRDefault="00EC7983" w:rsidP="00EC7983">
      <w:pPr>
        <w:rPr>
          <w:rFonts w:ascii="Arial" w:hAnsi="Arial" w:cs="Arial"/>
          <w:sz w:val="20"/>
          <w:szCs w:val="20"/>
        </w:rPr>
      </w:pPr>
    </w:p>
    <w:p w:rsidR="00EC7983" w:rsidRPr="004B48EC" w:rsidRDefault="00EC7983" w:rsidP="00EC7983">
      <w:pPr>
        <w:rPr>
          <w:rFonts w:ascii="Arial" w:hAnsi="Arial" w:cs="Arial"/>
          <w:sz w:val="20"/>
          <w:szCs w:val="20"/>
        </w:rPr>
      </w:pPr>
    </w:p>
    <w:p w:rsidR="00EC7983" w:rsidRPr="004B48EC"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4B48EC" w:rsidRDefault="00C13A86" w:rsidP="00EC7983">
      <w:pPr>
        <w:rPr>
          <w:rFonts w:ascii="Arial" w:hAnsi="Arial" w:cs="Arial"/>
          <w:sz w:val="20"/>
          <w:szCs w:val="20"/>
        </w:rPr>
      </w:pPr>
    </w:p>
    <w:p w:rsidR="00EC7983" w:rsidRPr="004B48EC" w:rsidRDefault="00EC7983" w:rsidP="00EC7983">
      <w:pPr>
        <w:rPr>
          <w:rFonts w:ascii="Arial" w:hAnsi="Arial" w:cs="Arial"/>
          <w:sz w:val="20"/>
          <w:szCs w:val="20"/>
        </w:rPr>
      </w:pPr>
    </w:p>
    <w:p w:rsidR="00EC7983" w:rsidRPr="004B48EC"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89"/>
        <w:gridCol w:w="6872"/>
      </w:tblGrid>
      <w:tr w:rsidR="00EC7983" w:rsidRPr="004B48EC"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4B48EC" w:rsidRDefault="00EC7983" w:rsidP="00EC7983">
            <w:pPr>
              <w:pStyle w:val="Bezproreda"/>
              <w:jc w:val="center"/>
              <w:rPr>
                <w:rFonts w:ascii="Arial" w:hAnsi="Arial" w:cs="Arial"/>
                <w:b/>
                <w:sz w:val="20"/>
                <w:szCs w:val="20"/>
              </w:rPr>
            </w:pPr>
            <w:r w:rsidRPr="004B48EC">
              <w:rPr>
                <w:rFonts w:ascii="Arial" w:hAnsi="Arial" w:cs="Arial"/>
                <w:b/>
                <w:sz w:val="20"/>
                <w:szCs w:val="20"/>
              </w:rPr>
              <w:t>Prilog: 12</w:t>
            </w:r>
          </w:p>
        </w:tc>
        <w:tc>
          <w:tcPr>
            <w:tcW w:w="7053"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rPr>
                <w:rFonts w:ascii="Arial" w:hAnsi="Arial" w:cs="Arial"/>
                <w:b/>
                <w:sz w:val="20"/>
                <w:szCs w:val="20"/>
              </w:rPr>
            </w:pPr>
          </w:p>
          <w:p w:rsidR="00EC7983" w:rsidRPr="004B48EC" w:rsidRDefault="00EC7983" w:rsidP="00EC7983">
            <w:pPr>
              <w:pStyle w:val="Bezproreda"/>
              <w:rPr>
                <w:rFonts w:ascii="Arial" w:hAnsi="Arial" w:cs="Arial"/>
                <w:b/>
                <w:sz w:val="20"/>
                <w:szCs w:val="20"/>
              </w:rPr>
            </w:pPr>
            <w:r w:rsidRPr="004B48EC">
              <w:rPr>
                <w:rFonts w:ascii="Arial" w:hAnsi="Arial" w:cs="Arial"/>
                <w:b/>
                <w:sz w:val="20"/>
                <w:szCs w:val="20"/>
              </w:rPr>
              <w:t>GODIŠNJI IZVJEŠTAJ O IZVRŠENJU PRORAČUNA GRADA BIOGRADA NA MORU ZA 2022. GODINU</w:t>
            </w:r>
          </w:p>
          <w:p w:rsidR="00EC7983" w:rsidRPr="004B48EC" w:rsidRDefault="00EC7983" w:rsidP="00EC7983">
            <w:pPr>
              <w:pStyle w:val="Bezproreda"/>
              <w:rPr>
                <w:rFonts w:ascii="Arial" w:hAnsi="Arial" w:cs="Arial"/>
                <w:b/>
                <w:sz w:val="20"/>
                <w:szCs w:val="20"/>
              </w:rPr>
            </w:pPr>
          </w:p>
        </w:tc>
      </w:tr>
      <w:tr w:rsidR="00EC7983" w:rsidRPr="004B48EC" w:rsidTr="00EC7983">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4B48EC"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b/>
                <w:sz w:val="20"/>
                <w:szCs w:val="20"/>
              </w:rPr>
            </w:pPr>
            <w:r w:rsidRPr="004B48EC">
              <w:rPr>
                <w:rFonts w:ascii="Arial" w:hAnsi="Arial" w:cs="Arial"/>
                <w:b/>
                <w:sz w:val="20"/>
                <w:szCs w:val="20"/>
              </w:rPr>
              <w:t>Stanje nenaplaćenih potraživanja za prihode, nepodmirenih dospjelih obveza i stanje potencijalnih obveza po osnovi sudskih postupaka Grada Biograda na Moru</w:t>
            </w:r>
          </w:p>
          <w:p w:rsidR="00EC7983" w:rsidRPr="004B48EC" w:rsidRDefault="00EC7983" w:rsidP="00EC7983">
            <w:pPr>
              <w:pStyle w:val="Bezproreda"/>
              <w:rPr>
                <w:rFonts w:ascii="Arial" w:hAnsi="Arial" w:cs="Arial"/>
                <w:sz w:val="20"/>
                <w:szCs w:val="20"/>
              </w:rPr>
            </w:pPr>
          </w:p>
        </w:tc>
      </w:tr>
    </w:tbl>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Default="00EC7983" w:rsidP="00EC7983">
      <w:pPr>
        <w:pStyle w:val="Bezproreda"/>
        <w:rPr>
          <w:rFonts w:ascii="Arial" w:hAnsi="Arial" w:cs="Arial"/>
          <w:sz w:val="20"/>
          <w:szCs w:val="20"/>
        </w:rPr>
      </w:pPr>
    </w:p>
    <w:p w:rsidR="00C13A86" w:rsidRPr="004B48EC" w:rsidRDefault="00C13A86"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546"/>
        <w:gridCol w:w="2822"/>
        <w:gridCol w:w="3693"/>
      </w:tblGrid>
      <w:tr w:rsidR="00EC7983" w:rsidRPr="004B48EC" w:rsidTr="00EC7983">
        <w:tc>
          <w:tcPr>
            <w:tcW w:w="2547"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rPr>
                <w:rFonts w:ascii="Arial" w:hAnsi="Arial" w:cs="Arial"/>
                <w:sz w:val="20"/>
                <w:szCs w:val="20"/>
              </w:rPr>
            </w:pPr>
          </w:p>
          <w:p w:rsidR="00EC7983" w:rsidRPr="004B48EC" w:rsidRDefault="00EC7983" w:rsidP="00EC7983">
            <w:pPr>
              <w:pStyle w:val="Bezproreda"/>
              <w:jc w:val="center"/>
              <w:rPr>
                <w:rFonts w:ascii="Arial" w:hAnsi="Arial" w:cs="Arial"/>
                <w:sz w:val="20"/>
                <w:szCs w:val="20"/>
              </w:rPr>
            </w:pPr>
            <w:r w:rsidRPr="004B48EC">
              <w:rPr>
                <w:rFonts w:ascii="Arial" w:hAnsi="Arial" w:cs="Arial"/>
                <w:sz w:val="20"/>
                <w:szCs w:val="20"/>
              </w:rPr>
              <w:t>KLASA: 400-01/23-04/01</w:t>
            </w:r>
          </w:p>
          <w:p w:rsidR="00EC7983" w:rsidRPr="004B48EC" w:rsidRDefault="00EC7983" w:rsidP="00EC7983">
            <w:pPr>
              <w:pStyle w:val="Bezproreda"/>
              <w:rPr>
                <w:rFonts w:ascii="Arial" w:hAnsi="Arial" w:cs="Arial"/>
                <w:sz w:val="20"/>
                <w:szCs w:val="20"/>
              </w:rPr>
            </w:pPr>
          </w:p>
        </w:tc>
        <w:tc>
          <w:tcPr>
            <w:tcW w:w="2822"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jc w:val="center"/>
              <w:rPr>
                <w:rFonts w:ascii="Arial" w:hAnsi="Arial" w:cs="Arial"/>
                <w:sz w:val="20"/>
                <w:szCs w:val="20"/>
              </w:rPr>
            </w:pPr>
          </w:p>
          <w:p w:rsidR="00EC7983" w:rsidRPr="004B48EC" w:rsidRDefault="00EC7983" w:rsidP="00EC7983">
            <w:pPr>
              <w:pStyle w:val="Bezproreda"/>
              <w:jc w:val="center"/>
              <w:rPr>
                <w:rFonts w:ascii="Arial" w:hAnsi="Arial" w:cs="Arial"/>
                <w:sz w:val="20"/>
                <w:szCs w:val="20"/>
              </w:rPr>
            </w:pPr>
            <w:r w:rsidRPr="004B48EC">
              <w:rPr>
                <w:rFonts w:ascii="Arial" w:hAnsi="Arial" w:cs="Arial"/>
                <w:sz w:val="20"/>
                <w:szCs w:val="20"/>
              </w:rPr>
              <w:t>URBROJ: 2198-16-01-23-2</w:t>
            </w:r>
          </w:p>
        </w:tc>
        <w:tc>
          <w:tcPr>
            <w:tcW w:w="3693" w:type="dxa"/>
            <w:tcBorders>
              <w:top w:val="single" w:sz="4" w:space="0" w:color="auto"/>
              <w:left w:val="single" w:sz="4" w:space="0" w:color="auto"/>
              <w:bottom w:val="single" w:sz="4" w:space="0" w:color="auto"/>
              <w:right w:val="single" w:sz="4" w:space="0" w:color="auto"/>
            </w:tcBorders>
          </w:tcPr>
          <w:p w:rsidR="00EC7983" w:rsidRPr="004B48EC" w:rsidRDefault="00EC7983" w:rsidP="00EC7983">
            <w:pPr>
              <w:pStyle w:val="Bezproreda"/>
              <w:jc w:val="center"/>
              <w:rPr>
                <w:rFonts w:ascii="Arial" w:hAnsi="Arial" w:cs="Arial"/>
                <w:sz w:val="20"/>
                <w:szCs w:val="20"/>
                <w:highlight w:val="yellow"/>
              </w:rPr>
            </w:pPr>
          </w:p>
          <w:p w:rsidR="00EC7983" w:rsidRPr="004B48EC" w:rsidRDefault="00EC7983" w:rsidP="00EC7983">
            <w:pPr>
              <w:pStyle w:val="Bezproreda"/>
              <w:jc w:val="center"/>
              <w:rPr>
                <w:rFonts w:ascii="Arial" w:hAnsi="Arial" w:cs="Arial"/>
                <w:sz w:val="20"/>
                <w:szCs w:val="20"/>
                <w:highlight w:val="yellow"/>
              </w:rPr>
            </w:pPr>
            <w:r w:rsidRPr="004B48EC">
              <w:rPr>
                <w:rFonts w:ascii="Arial" w:hAnsi="Arial" w:cs="Arial"/>
                <w:sz w:val="20"/>
                <w:szCs w:val="20"/>
              </w:rPr>
              <w:t>Biograd na Moru, 18. travnja 2023.</w:t>
            </w:r>
          </w:p>
        </w:tc>
      </w:tr>
    </w:tbl>
    <w:p w:rsidR="00EC7983" w:rsidRPr="004B48EC" w:rsidRDefault="00EC7983" w:rsidP="00EC7983">
      <w:pPr>
        <w:pStyle w:val="Bezproreda"/>
        <w:rPr>
          <w:rFonts w:ascii="Arial" w:hAnsi="Arial" w:cs="Arial"/>
          <w:sz w:val="20"/>
          <w:szCs w:val="20"/>
        </w:rPr>
      </w:pPr>
    </w:p>
    <w:p w:rsidR="00EC7983" w:rsidRDefault="00EC7983" w:rsidP="00EC7983">
      <w:pPr>
        <w:rPr>
          <w:rFonts w:ascii="Arial" w:hAnsi="Arial" w:cs="Arial"/>
          <w:sz w:val="20"/>
          <w:szCs w:val="20"/>
        </w:rPr>
      </w:pPr>
    </w:p>
    <w:p w:rsidR="000D1964" w:rsidRDefault="000D1964" w:rsidP="00EC7983">
      <w:pPr>
        <w:rPr>
          <w:rFonts w:ascii="Arial" w:hAnsi="Arial" w:cs="Arial"/>
          <w:sz w:val="20"/>
          <w:szCs w:val="20"/>
        </w:rPr>
      </w:pPr>
    </w:p>
    <w:p w:rsidR="000D1964" w:rsidRDefault="000D1964" w:rsidP="00EC7983">
      <w:pPr>
        <w:rPr>
          <w:rFonts w:ascii="Arial" w:hAnsi="Arial" w:cs="Arial"/>
          <w:sz w:val="20"/>
          <w:szCs w:val="20"/>
        </w:rPr>
      </w:pPr>
    </w:p>
    <w:p w:rsidR="000D1964" w:rsidRPr="00D65E94" w:rsidRDefault="000D1964" w:rsidP="000D1964">
      <w:pPr>
        <w:pStyle w:val="Bezproreda"/>
        <w:jc w:val="center"/>
        <w:rPr>
          <w:rFonts w:ascii="Arial" w:hAnsi="Arial" w:cs="Arial"/>
          <w:b/>
          <w:sz w:val="20"/>
          <w:szCs w:val="20"/>
        </w:rPr>
      </w:pPr>
      <w:r w:rsidRPr="00D65E94">
        <w:rPr>
          <w:rFonts w:ascii="Arial" w:hAnsi="Arial" w:cs="Arial"/>
          <w:b/>
          <w:sz w:val="20"/>
          <w:szCs w:val="20"/>
        </w:rPr>
        <w:lastRenderedPageBreak/>
        <w:t xml:space="preserve">Stanje nenaplaćenih potraživanja za prihode, nepodmirenih dospjelih obveza i stanje potencijalnih obveza po osnovi sudskih postupaka </w:t>
      </w:r>
    </w:p>
    <w:p w:rsidR="000D1964" w:rsidRPr="00D65E94" w:rsidRDefault="000D1964" w:rsidP="000D1964">
      <w:pPr>
        <w:pStyle w:val="Bezproreda"/>
        <w:jc w:val="center"/>
        <w:rPr>
          <w:rFonts w:ascii="Arial" w:hAnsi="Arial" w:cs="Arial"/>
          <w:b/>
          <w:sz w:val="20"/>
          <w:szCs w:val="20"/>
        </w:rPr>
      </w:pPr>
      <w:r w:rsidRPr="00D65E94">
        <w:rPr>
          <w:rFonts w:ascii="Arial" w:hAnsi="Arial" w:cs="Arial"/>
          <w:b/>
          <w:sz w:val="20"/>
          <w:szCs w:val="20"/>
        </w:rPr>
        <w:t>Grada Biograda na Moru</w:t>
      </w:r>
    </w:p>
    <w:p w:rsidR="000D1964" w:rsidRPr="00D65E94" w:rsidRDefault="000D1964" w:rsidP="000D1964">
      <w:pPr>
        <w:jc w:val="center"/>
        <w:rPr>
          <w:rFonts w:ascii="Arial" w:hAnsi="Arial" w:cs="Arial"/>
          <w:sz w:val="20"/>
          <w:szCs w:val="20"/>
        </w:rPr>
      </w:pPr>
    </w:p>
    <w:p w:rsidR="000D1964" w:rsidRDefault="000D1964" w:rsidP="00BD6122">
      <w:pPr>
        <w:pStyle w:val="Odlomakpopisa"/>
        <w:numPr>
          <w:ilvl w:val="0"/>
          <w:numId w:val="20"/>
        </w:numPr>
        <w:jc w:val="both"/>
        <w:rPr>
          <w:rFonts w:ascii="Arial" w:hAnsi="Arial" w:cs="Arial"/>
          <w:sz w:val="20"/>
          <w:szCs w:val="20"/>
        </w:rPr>
      </w:pPr>
      <w:r w:rsidRPr="00D65E94">
        <w:rPr>
          <w:rFonts w:ascii="Arial" w:hAnsi="Arial" w:cs="Arial"/>
          <w:sz w:val="20"/>
          <w:szCs w:val="20"/>
        </w:rPr>
        <w:t>Stanje nenaplaćenih potraživanja za prihode Grada Biograda na Moru i njegovih proračunskih korisnika na dan 31. prosinca 2022. godine u ukupnom iznosu je 27.380.821,55 kuna.</w:t>
      </w:r>
    </w:p>
    <w:p w:rsidR="000D1964" w:rsidRPr="00D65E94" w:rsidRDefault="000D1964" w:rsidP="000D1964">
      <w:pPr>
        <w:pStyle w:val="Odlomakpopisa"/>
        <w:jc w:val="both"/>
        <w:rPr>
          <w:rFonts w:ascii="Arial" w:hAnsi="Arial" w:cs="Arial"/>
          <w:sz w:val="20"/>
          <w:szCs w:val="20"/>
        </w:rPr>
      </w:pPr>
    </w:p>
    <w:tbl>
      <w:tblPr>
        <w:tblStyle w:val="Reetkatablice"/>
        <w:tblW w:w="0" w:type="auto"/>
        <w:jc w:val="center"/>
        <w:tblInd w:w="0" w:type="dxa"/>
        <w:tblLook w:val="04A0" w:firstRow="1" w:lastRow="0" w:firstColumn="1" w:lastColumn="0" w:noHBand="0" w:noVBand="1"/>
      </w:tblPr>
      <w:tblGrid>
        <w:gridCol w:w="4675"/>
        <w:gridCol w:w="4109"/>
      </w:tblGrid>
      <w:tr w:rsidR="000D1964" w:rsidRPr="00D65E94" w:rsidTr="000D1964">
        <w:trPr>
          <w:jc w:val="center"/>
        </w:trPr>
        <w:tc>
          <w:tcPr>
            <w:tcW w:w="4675" w:type="dxa"/>
            <w:tcBorders>
              <w:top w:val="single" w:sz="4" w:space="0" w:color="auto"/>
              <w:left w:val="single" w:sz="4" w:space="0" w:color="auto"/>
              <w:bottom w:val="nil"/>
              <w:right w:val="nil"/>
            </w:tcBorders>
          </w:tcPr>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Potraživanja za prihode poslovanja</w:t>
            </w:r>
          </w:p>
        </w:tc>
        <w:tc>
          <w:tcPr>
            <w:tcW w:w="4109" w:type="dxa"/>
            <w:tcBorders>
              <w:top w:val="single" w:sz="4" w:space="0" w:color="auto"/>
              <w:left w:val="nil"/>
              <w:bottom w:val="nil"/>
              <w:right w:val="single" w:sz="4" w:space="0" w:color="auto"/>
            </w:tcBorders>
          </w:tcPr>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8.544.107,53 kn</w:t>
            </w:r>
          </w:p>
        </w:tc>
      </w:tr>
      <w:tr w:rsidR="000D1964" w:rsidRPr="00D65E94" w:rsidTr="000D1964">
        <w:trPr>
          <w:jc w:val="center"/>
        </w:trPr>
        <w:tc>
          <w:tcPr>
            <w:tcW w:w="4675" w:type="dxa"/>
            <w:tcBorders>
              <w:top w:val="nil"/>
              <w:left w:val="single" w:sz="4" w:space="0" w:color="auto"/>
              <w:bottom w:val="nil"/>
              <w:right w:val="nil"/>
            </w:tcBorders>
          </w:tcPr>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Ispravak vrijednosti potraživanja</w:t>
            </w:r>
          </w:p>
        </w:tc>
        <w:tc>
          <w:tcPr>
            <w:tcW w:w="4109" w:type="dxa"/>
            <w:tcBorders>
              <w:top w:val="nil"/>
              <w:left w:val="nil"/>
              <w:bottom w:val="nil"/>
              <w:right w:val="single" w:sz="4" w:space="0" w:color="auto"/>
            </w:tcBorders>
          </w:tcPr>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18.015.700,50 kn</w:t>
            </w:r>
          </w:p>
        </w:tc>
      </w:tr>
      <w:tr w:rsidR="000D1964" w:rsidRPr="00D65E94" w:rsidTr="000D1964">
        <w:trPr>
          <w:jc w:val="center"/>
        </w:trPr>
        <w:tc>
          <w:tcPr>
            <w:tcW w:w="4675" w:type="dxa"/>
            <w:tcBorders>
              <w:top w:val="nil"/>
              <w:left w:val="single" w:sz="4" w:space="0" w:color="auto"/>
              <w:bottom w:val="single" w:sz="4" w:space="0" w:color="auto"/>
              <w:right w:val="nil"/>
            </w:tcBorders>
          </w:tcPr>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Potraživanja od prodaje nefinancijske imovine</w:t>
            </w:r>
          </w:p>
        </w:tc>
        <w:tc>
          <w:tcPr>
            <w:tcW w:w="4109" w:type="dxa"/>
            <w:tcBorders>
              <w:top w:val="nil"/>
              <w:left w:val="nil"/>
              <w:bottom w:val="single" w:sz="4" w:space="0" w:color="auto"/>
              <w:right w:val="single" w:sz="4" w:space="0" w:color="auto"/>
            </w:tcBorders>
          </w:tcPr>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821.013,52 kn</w:t>
            </w:r>
          </w:p>
        </w:tc>
      </w:tr>
      <w:tr w:rsidR="000D1964" w:rsidRPr="00D65E94" w:rsidTr="000D1964">
        <w:trPr>
          <w:jc w:val="center"/>
        </w:trPr>
        <w:tc>
          <w:tcPr>
            <w:tcW w:w="4675" w:type="dxa"/>
            <w:tcBorders>
              <w:top w:val="single" w:sz="4" w:space="0" w:color="auto"/>
              <w:left w:val="single" w:sz="4" w:space="0" w:color="auto"/>
              <w:bottom w:val="single" w:sz="4" w:space="0" w:color="auto"/>
              <w:right w:val="nil"/>
            </w:tcBorders>
          </w:tcPr>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Ukupno</w:t>
            </w:r>
          </w:p>
        </w:tc>
        <w:tc>
          <w:tcPr>
            <w:tcW w:w="4109" w:type="dxa"/>
            <w:tcBorders>
              <w:top w:val="single" w:sz="4" w:space="0" w:color="auto"/>
              <w:left w:val="nil"/>
              <w:bottom w:val="single" w:sz="4" w:space="0" w:color="auto"/>
            </w:tcBorders>
          </w:tcPr>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27.380.821,55 kn</w:t>
            </w:r>
          </w:p>
        </w:tc>
      </w:tr>
    </w:tbl>
    <w:p w:rsidR="000D1964" w:rsidRPr="00D65E94" w:rsidRDefault="000D1964" w:rsidP="000D1964">
      <w:pPr>
        <w:jc w:val="both"/>
        <w:rPr>
          <w:rFonts w:ascii="Arial" w:hAnsi="Arial" w:cs="Arial"/>
          <w:sz w:val="20"/>
          <w:szCs w:val="20"/>
        </w:rPr>
      </w:pPr>
    </w:p>
    <w:p w:rsidR="000D1964" w:rsidRDefault="000D1964" w:rsidP="000D1964">
      <w:pPr>
        <w:jc w:val="both"/>
        <w:rPr>
          <w:rFonts w:ascii="Arial" w:hAnsi="Arial" w:cs="Arial"/>
          <w:sz w:val="20"/>
          <w:szCs w:val="20"/>
        </w:rPr>
      </w:pPr>
      <w:r w:rsidRPr="00D65E94">
        <w:rPr>
          <w:rFonts w:ascii="Arial" w:hAnsi="Arial" w:cs="Arial"/>
          <w:sz w:val="20"/>
          <w:szCs w:val="20"/>
        </w:rPr>
        <w:t>Odredbom članka 37.a Pravilnika o proračunskom računovodstvu i Računskom planu, propisano je da se ispravak vrijednosti potraživanja provodi na kraju godine, uzimajući u obzir kašnjenje u naplati preko godine dana i pokretanje stečajnog postupka i/ili likvidacijskog postupka nad dužnikom. Ako se s naplatom kasni između jedne i tri godine vrijednost potraživanja ispravlja se po stopi od 50%, a iznad tri godine vrijednost potraživanja ispravlja se po stopi od 100%. Bez obzira na provođenje ispravka vrijednosti potraživanja u skladu s navedenim pravilnikom, Grad Biograd na Moru i proračunski korisnici poduzimaju sve potrebne mjere za potpunu naplatu prihoda i primitaka iz nadležnosti i uplatu u proračun, odnosno financijski plan prema važečim propisima. U potpunosti ispravljena potraživanja zadržavaju se u bilančnoj evidenciji sve do trenutka prestanka postojanja pravne osnove za njihovu naplatu tj. sva sredstva koja se nalaze na kontu ispravka vrijednosti potraživanja su naplativa.</w:t>
      </w:r>
    </w:p>
    <w:p w:rsidR="000D1964" w:rsidRPr="00D65E94" w:rsidRDefault="000D1964" w:rsidP="000D1964">
      <w:pPr>
        <w:jc w:val="both"/>
        <w:rPr>
          <w:rFonts w:ascii="Arial" w:hAnsi="Arial" w:cs="Arial"/>
          <w:sz w:val="20"/>
          <w:szCs w:val="20"/>
        </w:rPr>
      </w:pPr>
    </w:p>
    <w:p w:rsidR="000D1964" w:rsidRDefault="000D1964" w:rsidP="00BD6122">
      <w:pPr>
        <w:pStyle w:val="Odlomakpopisa"/>
        <w:numPr>
          <w:ilvl w:val="0"/>
          <w:numId w:val="20"/>
        </w:numPr>
        <w:jc w:val="both"/>
        <w:rPr>
          <w:rFonts w:ascii="Arial" w:hAnsi="Arial" w:cs="Arial"/>
          <w:sz w:val="20"/>
          <w:szCs w:val="20"/>
        </w:rPr>
      </w:pPr>
      <w:r w:rsidRPr="00D65E94">
        <w:rPr>
          <w:rFonts w:ascii="Arial" w:hAnsi="Arial" w:cs="Arial"/>
          <w:sz w:val="20"/>
          <w:szCs w:val="20"/>
        </w:rPr>
        <w:t>Stanje nepodmirenih dospjelih obveza Grada Biograda na Moru na dan 31. prosinca 2022. godine u ukupnom iznosu 9.427.419,46 kuna.</w:t>
      </w:r>
    </w:p>
    <w:p w:rsidR="000D1964" w:rsidRPr="00D65E94" w:rsidRDefault="000D1964" w:rsidP="000D1964">
      <w:pPr>
        <w:pStyle w:val="Odlomakpopisa"/>
        <w:jc w:val="both"/>
        <w:rPr>
          <w:rFonts w:ascii="Arial" w:hAnsi="Arial" w:cs="Arial"/>
          <w:sz w:val="20"/>
          <w:szCs w:val="20"/>
        </w:rPr>
      </w:pPr>
    </w:p>
    <w:tbl>
      <w:tblPr>
        <w:tblStyle w:val="Reetkatablice"/>
        <w:tblW w:w="0" w:type="auto"/>
        <w:jc w:val="center"/>
        <w:tblInd w:w="0" w:type="dxa"/>
        <w:tblLook w:val="04A0" w:firstRow="1" w:lastRow="0" w:firstColumn="1" w:lastColumn="0" w:noHBand="0" w:noVBand="1"/>
      </w:tblPr>
      <w:tblGrid>
        <w:gridCol w:w="4675"/>
        <w:gridCol w:w="4109"/>
      </w:tblGrid>
      <w:tr w:rsidR="000D1964" w:rsidRPr="00D65E94" w:rsidTr="000D1964">
        <w:trPr>
          <w:jc w:val="center"/>
        </w:trPr>
        <w:tc>
          <w:tcPr>
            <w:tcW w:w="4675" w:type="dxa"/>
          </w:tcPr>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Obveze za rashode poslovanja</w:t>
            </w:r>
          </w:p>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Obveze za nabavu nefinancijske imovine</w:t>
            </w:r>
          </w:p>
        </w:tc>
        <w:tc>
          <w:tcPr>
            <w:tcW w:w="4109" w:type="dxa"/>
          </w:tcPr>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5.758.288,11 kn</w:t>
            </w:r>
          </w:p>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3.669.131,35 kn</w:t>
            </w:r>
          </w:p>
          <w:p w:rsidR="000D1964" w:rsidRPr="00D65E94" w:rsidRDefault="000D1964" w:rsidP="000D1964">
            <w:pPr>
              <w:jc w:val="right"/>
              <w:rPr>
                <w:rFonts w:ascii="Arial" w:hAnsi="Arial" w:cs="Arial"/>
                <w:sz w:val="20"/>
                <w:szCs w:val="20"/>
                <w:lang w:val="hr-HR"/>
              </w:rPr>
            </w:pPr>
          </w:p>
        </w:tc>
      </w:tr>
      <w:tr w:rsidR="000D1964" w:rsidRPr="00D65E94" w:rsidTr="000D1964">
        <w:trPr>
          <w:jc w:val="center"/>
        </w:trPr>
        <w:tc>
          <w:tcPr>
            <w:tcW w:w="4675" w:type="dxa"/>
          </w:tcPr>
          <w:p w:rsidR="000D1964" w:rsidRPr="00D65E94" w:rsidRDefault="000D1964" w:rsidP="000D1964">
            <w:pPr>
              <w:jc w:val="both"/>
              <w:rPr>
                <w:rFonts w:ascii="Arial" w:hAnsi="Arial" w:cs="Arial"/>
                <w:sz w:val="20"/>
                <w:szCs w:val="20"/>
                <w:lang w:val="hr-HR"/>
              </w:rPr>
            </w:pPr>
            <w:r w:rsidRPr="00D65E94">
              <w:rPr>
                <w:rFonts w:ascii="Arial" w:hAnsi="Arial" w:cs="Arial"/>
                <w:sz w:val="20"/>
                <w:szCs w:val="20"/>
                <w:lang w:val="hr-HR"/>
              </w:rPr>
              <w:t>Ukupno</w:t>
            </w:r>
          </w:p>
        </w:tc>
        <w:tc>
          <w:tcPr>
            <w:tcW w:w="4109" w:type="dxa"/>
          </w:tcPr>
          <w:p w:rsidR="000D1964" w:rsidRPr="00D65E94" w:rsidRDefault="000D1964" w:rsidP="000D1964">
            <w:pPr>
              <w:jc w:val="right"/>
              <w:rPr>
                <w:rFonts w:ascii="Arial" w:hAnsi="Arial" w:cs="Arial"/>
                <w:sz w:val="20"/>
                <w:szCs w:val="20"/>
                <w:lang w:val="hr-HR"/>
              </w:rPr>
            </w:pPr>
            <w:r w:rsidRPr="00D65E94">
              <w:rPr>
                <w:rFonts w:ascii="Arial" w:hAnsi="Arial" w:cs="Arial"/>
                <w:sz w:val="20"/>
                <w:szCs w:val="20"/>
                <w:lang w:val="hr-HR"/>
              </w:rPr>
              <w:t>9.427.419,46 kn</w:t>
            </w:r>
          </w:p>
        </w:tc>
      </w:tr>
    </w:tbl>
    <w:p w:rsidR="000D1964" w:rsidRPr="00D65E94" w:rsidRDefault="000D1964" w:rsidP="000D1964">
      <w:pPr>
        <w:jc w:val="both"/>
        <w:rPr>
          <w:rFonts w:ascii="Arial" w:hAnsi="Arial" w:cs="Arial"/>
          <w:sz w:val="20"/>
          <w:szCs w:val="20"/>
        </w:rPr>
      </w:pPr>
    </w:p>
    <w:p w:rsidR="000D1964" w:rsidRPr="00D65E94" w:rsidRDefault="000D1964" w:rsidP="00BD6122">
      <w:pPr>
        <w:pStyle w:val="Odlomakpopisa"/>
        <w:numPr>
          <w:ilvl w:val="0"/>
          <w:numId w:val="22"/>
        </w:numPr>
        <w:jc w:val="both"/>
        <w:rPr>
          <w:rFonts w:ascii="Arial" w:hAnsi="Arial" w:cs="Arial"/>
          <w:sz w:val="20"/>
          <w:szCs w:val="20"/>
        </w:rPr>
      </w:pPr>
      <w:r w:rsidRPr="00D65E94">
        <w:rPr>
          <w:rFonts w:ascii="Arial" w:hAnsi="Arial" w:cs="Arial"/>
          <w:sz w:val="20"/>
          <w:szCs w:val="20"/>
        </w:rPr>
        <w:t xml:space="preserve">Stanje potencijalnih obveza po osnovi sudskih postupaka Grada Biograda na Moru na dan 31. prosinca 2022. godine iznosi 912.168,32 kuna. Obveze po osnovi sudskih postupaka odnose se na postupke radi isplate (izvršena istraživanja, naknada štete s osnova izmakle koristi), jer postupci radi predaje u posjed nekretnine, utvrđenja i uknjižbe vlasništva, presude koje nadomještaju ugovore i slično nisu potencijalne obveze.  </w:t>
      </w:r>
    </w:p>
    <w:p w:rsidR="000D1964" w:rsidRPr="00D65E94" w:rsidRDefault="000D1964" w:rsidP="000D1964">
      <w:pPr>
        <w:jc w:val="both"/>
        <w:rPr>
          <w:rFonts w:ascii="Arial" w:hAnsi="Arial" w:cs="Arial"/>
          <w:sz w:val="20"/>
          <w:szCs w:val="20"/>
        </w:rPr>
      </w:pPr>
    </w:p>
    <w:p w:rsidR="000D1964" w:rsidRDefault="000D1964" w:rsidP="000D1964">
      <w:pPr>
        <w:jc w:val="both"/>
        <w:rPr>
          <w:rFonts w:ascii="Arial" w:hAnsi="Arial" w:cs="Arial"/>
          <w:sz w:val="20"/>
          <w:szCs w:val="20"/>
        </w:rPr>
      </w:pPr>
      <w:r w:rsidRPr="00D65E94">
        <w:rPr>
          <w:rFonts w:ascii="Arial" w:hAnsi="Arial" w:cs="Arial"/>
          <w:sz w:val="20"/>
          <w:szCs w:val="20"/>
        </w:rPr>
        <w:t>U potencijalne obveze po osnovi sudskih postupaka Grada Biograda na Moru se ubrajaju sljedeći sudski posupci:</w:t>
      </w:r>
    </w:p>
    <w:p w:rsidR="000D1964" w:rsidRPr="00D65E94" w:rsidRDefault="000D1964" w:rsidP="000D1964">
      <w:pPr>
        <w:jc w:val="both"/>
        <w:rPr>
          <w:rFonts w:ascii="Arial" w:hAnsi="Arial" w:cs="Arial"/>
          <w:sz w:val="20"/>
          <w:szCs w:val="20"/>
        </w:rPr>
      </w:pPr>
    </w:p>
    <w:tbl>
      <w:tblPr>
        <w:tblStyle w:val="Reetkatablice"/>
        <w:tblW w:w="0" w:type="auto"/>
        <w:jc w:val="center"/>
        <w:tblInd w:w="0" w:type="dxa"/>
        <w:tblLayout w:type="fixed"/>
        <w:tblLook w:val="04A0" w:firstRow="1" w:lastRow="0" w:firstColumn="1" w:lastColumn="0" w:noHBand="0" w:noVBand="1"/>
      </w:tblPr>
      <w:tblGrid>
        <w:gridCol w:w="7371"/>
        <w:gridCol w:w="1555"/>
      </w:tblGrid>
      <w:tr w:rsidR="000D1964" w:rsidRPr="00D65E94" w:rsidTr="000D1964">
        <w:trPr>
          <w:jc w:val="center"/>
        </w:trPr>
        <w:tc>
          <w:tcPr>
            <w:tcW w:w="7371" w:type="dxa"/>
          </w:tcPr>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65 Pn152/16, 65 Pn-110/17</w:t>
            </w:r>
          </w:p>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65 Pn153/16, 65 Pn-9/2018</w:t>
            </w:r>
          </w:p>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 xml:space="preserve">P-2603/2019, P-210/2020 </w:t>
            </w:r>
          </w:p>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8 Pn-56/2021</w:t>
            </w:r>
          </w:p>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P-685/2018, Gž-279/2019, P-1394/2019, Gž-188/2020</w:t>
            </w:r>
          </w:p>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P-689/2018, Gž-705/2019, P-2156/2019, 79 Gž-1832/2020, Revd 1700/2021</w:t>
            </w:r>
          </w:p>
          <w:p w:rsidR="000D1964" w:rsidRPr="00D65E94" w:rsidRDefault="000D1964" w:rsidP="00BD6122">
            <w:pPr>
              <w:pStyle w:val="Odlomakpopisa"/>
              <w:numPr>
                <w:ilvl w:val="0"/>
                <w:numId w:val="21"/>
              </w:numPr>
              <w:jc w:val="both"/>
              <w:rPr>
                <w:rFonts w:ascii="Arial" w:hAnsi="Arial" w:cs="Arial"/>
                <w:sz w:val="20"/>
                <w:szCs w:val="20"/>
              </w:rPr>
            </w:pPr>
            <w:r w:rsidRPr="00D65E94">
              <w:rPr>
                <w:rFonts w:ascii="Arial" w:hAnsi="Arial" w:cs="Arial"/>
                <w:sz w:val="20"/>
                <w:szCs w:val="20"/>
              </w:rPr>
              <w:t>P-693/2018, 47 Gž-692/19, 26 P-838/2019, Gž-755/2020, Revd 2677/2020</w:t>
            </w:r>
          </w:p>
        </w:tc>
        <w:tc>
          <w:tcPr>
            <w:tcW w:w="1555" w:type="dxa"/>
          </w:tcPr>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14.836,25 kn</w:t>
            </w:r>
          </w:p>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17.903,75 kn</w:t>
            </w:r>
          </w:p>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37.000,00 kn</w:t>
            </w:r>
          </w:p>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745.874,00 kn</w:t>
            </w:r>
          </w:p>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34.303,50 kn</w:t>
            </w:r>
          </w:p>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25.524,92</w:t>
            </w:r>
          </w:p>
          <w:p w:rsidR="000D1964" w:rsidRPr="00D65E94" w:rsidRDefault="000D1964" w:rsidP="000D1964">
            <w:pPr>
              <w:pStyle w:val="Odlomakpopisa"/>
              <w:ind w:left="0"/>
              <w:jc w:val="right"/>
              <w:rPr>
                <w:rFonts w:ascii="Arial" w:hAnsi="Arial" w:cs="Arial"/>
                <w:sz w:val="20"/>
                <w:szCs w:val="20"/>
              </w:rPr>
            </w:pPr>
          </w:p>
          <w:p w:rsidR="000D1964" w:rsidRPr="00D65E94" w:rsidRDefault="000D1964" w:rsidP="000D1964">
            <w:pPr>
              <w:pStyle w:val="Odlomakpopisa"/>
              <w:ind w:left="0"/>
              <w:jc w:val="right"/>
              <w:rPr>
                <w:rFonts w:ascii="Arial" w:hAnsi="Arial" w:cs="Arial"/>
                <w:sz w:val="20"/>
                <w:szCs w:val="20"/>
              </w:rPr>
            </w:pPr>
            <w:r w:rsidRPr="00D65E94">
              <w:rPr>
                <w:rFonts w:ascii="Arial" w:hAnsi="Arial" w:cs="Arial"/>
                <w:sz w:val="20"/>
                <w:szCs w:val="20"/>
              </w:rPr>
              <w:t>36.725,90</w:t>
            </w:r>
          </w:p>
        </w:tc>
      </w:tr>
      <w:tr w:rsidR="000D1964" w:rsidRPr="00D65E94" w:rsidTr="000D1964">
        <w:trPr>
          <w:jc w:val="center"/>
        </w:trPr>
        <w:tc>
          <w:tcPr>
            <w:tcW w:w="7371" w:type="dxa"/>
          </w:tcPr>
          <w:p w:rsidR="000D1964" w:rsidRPr="00D65E94" w:rsidRDefault="000D1964" w:rsidP="000D1964">
            <w:pPr>
              <w:pStyle w:val="Odlomakpopisa"/>
              <w:jc w:val="both"/>
              <w:rPr>
                <w:rFonts w:ascii="Arial" w:hAnsi="Arial" w:cs="Arial"/>
                <w:b/>
                <w:bCs/>
                <w:sz w:val="20"/>
                <w:szCs w:val="20"/>
              </w:rPr>
            </w:pPr>
            <w:r w:rsidRPr="00D65E94">
              <w:rPr>
                <w:rFonts w:ascii="Arial" w:hAnsi="Arial" w:cs="Arial"/>
                <w:b/>
                <w:bCs/>
                <w:sz w:val="20"/>
                <w:szCs w:val="20"/>
              </w:rPr>
              <w:t>Ukupno:</w:t>
            </w:r>
          </w:p>
        </w:tc>
        <w:tc>
          <w:tcPr>
            <w:tcW w:w="1555" w:type="dxa"/>
          </w:tcPr>
          <w:p w:rsidR="000D1964" w:rsidRPr="00D65E94" w:rsidRDefault="000D1964" w:rsidP="000D1964">
            <w:pPr>
              <w:jc w:val="right"/>
              <w:rPr>
                <w:rFonts w:ascii="Arial" w:hAnsi="Arial" w:cs="Arial"/>
                <w:b/>
                <w:bCs/>
                <w:sz w:val="20"/>
                <w:szCs w:val="20"/>
              </w:rPr>
            </w:pPr>
            <w:r w:rsidRPr="00D65E94">
              <w:rPr>
                <w:rFonts w:ascii="Arial" w:hAnsi="Arial" w:cs="Arial"/>
                <w:b/>
                <w:bCs/>
                <w:sz w:val="20"/>
                <w:szCs w:val="20"/>
              </w:rPr>
              <w:t>912.168,32 kn</w:t>
            </w:r>
          </w:p>
        </w:tc>
      </w:tr>
    </w:tbl>
    <w:p w:rsidR="000D1964" w:rsidRPr="00D65E94" w:rsidRDefault="000D1964" w:rsidP="000D1964">
      <w:pPr>
        <w:jc w:val="both"/>
        <w:rPr>
          <w:rFonts w:ascii="Arial" w:hAnsi="Arial" w:cs="Arial"/>
          <w:sz w:val="20"/>
          <w:szCs w:val="20"/>
        </w:rPr>
      </w:pPr>
    </w:p>
    <w:p w:rsidR="000A6DC7" w:rsidRDefault="000A6DC7" w:rsidP="000A6DC7">
      <w:pPr>
        <w:jc w:val="center"/>
        <w:rPr>
          <w:rFonts w:ascii="Arial" w:hAnsi="Arial" w:cs="Arial"/>
        </w:rPr>
      </w:pPr>
      <w:r>
        <w:rPr>
          <w:rFonts w:ascii="Arial" w:hAnsi="Arial" w:cs="Arial"/>
        </w:rPr>
        <w:t>***</w:t>
      </w: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C13A86"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6"/>
        <w:gridCol w:w="7555"/>
      </w:tblGrid>
      <w:tr w:rsidR="00EC7983" w:rsidRPr="00D93E2E" w:rsidTr="00EC7983">
        <w:tc>
          <w:tcPr>
            <w:tcW w:w="1526"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jc w:val="center"/>
              <w:rPr>
                <w:rFonts w:ascii="Arial" w:hAnsi="Arial" w:cs="Arial"/>
                <w:noProof/>
                <w:color w:val="BFBFBF" w:themeColor="background1" w:themeShade="BF"/>
                <w:sz w:val="20"/>
                <w:szCs w:val="20"/>
                <w:lang w:eastAsia="hr-HR"/>
              </w:rPr>
            </w:pPr>
          </w:p>
          <w:p w:rsidR="00EC7983" w:rsidRPr="00D93E2E" w:rsidRDefault="00EC7983" w:rsidP="00EC7983">
            <w:pPr>
              <w:pStyle w:val="Bezproreda"/>
              <w:jc w:val="center"/>
              <w:rPr>
                <w:rFonts w:ascii="Arial" w:hAnsi="Arial" w:cs="Arial"/>
                <w:color w:val="BFBFBF" w:themeColor="background1" w:themeShade="BF"/>
                <w:sz w:val="20"/>
                <w:szCs w:val="20"/>
              </w:rPr>
            </w:pPr>
            <w:r w:rsidRPr="00D93E2E">
              <w:rPr>
                <w:rFonts w:ascii="Arial" w:hAnsi="Arial" w:cs="Arial"/>
                <w:noProof/>
                <w:color w:val="BFBFBF" w:themeColor="background1" w:themeShade="BF"/>
                <w:sz w:val="20"/>
                <w:szCs w:val="20"/>
              </w:rPr>
              <w:drawing>
                <wp:inline distT="0" distB="0" distL="0" distR="0" wp14:anchorId="001F4F9F" wp14:editId="4C3E3A89">
                  <wp:extent cx="409575" cy="447675"/>
                  <wp:effectExtent l="19050" t="0" r="9525" b="0"/>
                  <wp:docPr id="15"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a:srcRect/>
                          <a:stretch>
                            <a:fillRect/>
                          </a:stretch>
                        </pic:blipFill>
                        <pic:spPr bwMode="auto">
                          <a:xfrm>
                            <a:off x="0" y="0"/>
                            <a:ext cx="409575" cy="447675"/>
                          </a:xfrm>
                          <a:prstGeom prst="rect">
                            <a:avLst/>
                          </a:prstGeom>
                          <a:noFill/>
                          <a:ln w="9525">
                            <a:noFill/>
                            <a:miter lim="800000"/>
                            <a:headEnd/>
                            <a:tailEnd/>
                          </a:ln>
                        </pic:spPr>
                      </pic:pic>
                    </a:graphicData>
                  </a:graphic>
                </wp:inline>
              </w:drawing>
            </w:r>
          </w:p>
        </w:tc>
        <w:tc>
          <w:tcPr>
            <w:tcW w:w="7762"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jc w:val="center"/>
              <w:rPr>
                <w:rFonts w:ascii="Arial" w:hAnsi="Arial" w:cs="Arial"/>
                <w:b/>
                <w:color w:val="BFBFBF" w:themeColor="background1" w:themeShade="BF"/>
                <w:sz w:val="20"/>
                <w:szCs w:val="20"/>
              </w:rPr>
            </w:pPr>
          </w:p>
          <w:p w:rsidR="00EC7983" w:rsidRPr="00D93E2E" w:rsidRDefault="00EC7983" w:rsidP="00EC7983">
            <w:pPr>
              <w:pStyle w:val="Bezproreda"/>
              <w:jc w:val="center"/>
              <w:rPr>
                <w:rFonts w:ascii="Arial" w:hAnsi="Arial" w:cs="Arial"/>
                <w:b/>
                <w:sz w:val="20"/>
                <w:szCs w:val="20"/>
              </w:rPr>
            </w:pPr>
            <w:r w:rsidRPr="00D93E2E">
              <w:rPr>
                <w:rFonts w:ascii="Arial" w:hAnsi="Arial" w:cs="Arial"/>
                <w:b/>
                <w:sz w:val="20"/>
                <w:szCs w:val="20"/>
              </w:rPr>
              <w:t>REPUBLIKA HRVATSKA</w:t>
            </w:r>
          </w:p>
          <w:p w:rsidR="00EC7983" w:rsidRPr="00D93E2E" w:rsidRDefault="00EC7983" w:rsidP="00EC7983">
            <w:pPr>
              <w:pStyle w:val="Bezproreda"/>
              <w:jc w:val="center"/>
              <w:rPr>
                <w:rFonts w:ascii="Arial" w:hAnsi="Arial" w:cs="Arial"/>
                <w:b/>
                <w:sz w:val="20"/>
                <w:szCs w:val="20"/>
              </w:rPr>
            </w:pPr>
            <w:r w:rsidRPr="00D93E2E">
              <w:rPr>
                <w:rFonts w:ascii="Arial" w:hAnsi="Arial" w:cs="Arial"/>
                <w:b/>
                <w:sz w:val="20"/>
                <w:szCs w:val="20"/>
              </w:rPr>
              <w:t>ZADARSKA ŽUPANIJA</w:t>
            </w:r>
          </w:p>
          <w:p w:rsidR="00EC7983" w:rsidRPr="00D93E2E" w:rsidRDefault="00EC7983" w:rsidP="00EC7983">
            <w:pPr>
              <w:pStyle w:val="Bezproreda"/>
              <w:jc w:val="center"/>
              <w:rPr>
                <w:rFonts w:ascii="Arial" w:hAnsi="Arial" w:cs="Arial"/>
                <w:b/>
                <w:sz w:val="20"/>
                <w:szCs w:val="20"/>
              </w:rPr>
            </w:pPr>
            <w:r w:rsidRPr="00D93E2E">
              <w:rPr>
                <w:rFonts w:ascii="Arial" w:hAnsi="Arial" w:cs="Arial"/>
                <w:b/>
                <w:sz w:val="20"/>
                <w:szCs w:val="20"/>
              </w:rPr>
              <w:t>GRAD BIOGRAD NA MORU</w:t>
            </w:r>
          </w:p>
          <w:p w:rsidR="00EC7983" w:rsidRPr="00D93E2E" w:rsidRDefault="00EC7983" w:rsidP="00EC7983">
            <w:pPr>
              <w:pStyle w:val="Bezproreda"/>
              <w:jc w:val="center"/>
              <w:rPr>
                <w:rFonts w:ascii="Arial" w:hAnsi="Arial" w:cs="Arial"/>
                <w:color w:val="BFBFBF" w:themeColor="background1" w:themeShade="BF"/>
                <w:sz w:val="20"/>
                <w:szCs w:val="20"/>
              </w:rPr>
            </w:pPr>
          </w:p>
        </w:tc>
      </w:tr>
    </w:tbl>
    <w:p w:rsidR="00EC7983" w:rsidRPr="00D93E2E" w:rsidRDefault="00EC7983" w:rsidP="00EC7983">
      <w:pPr>
        <w:rPr>
          <w:rFonts w:ascii="Arial" w:hAnsi="Arial" w:cs="Arial"/>
          <w:sz w:val="20"/>
          <w:szCs w:val="20"/>
        </w:rPr>
      </w:pPr>
    </w:p>
    <w:p w:rsidR="00EC7983" w:rsidRPr="00D93E2E" w:rsidRDefault="00EC7983" w:rsidP="00EC7983">
      <w:pPr>
        <w:rPr>
          <w:rFonts w:ascii="Arial" w:hAnsi="Arial" w:cs="Arial"/>
          <w:sz w:val="20"/>
          <w:szCs w:val="20"/>
        </w:rPr>
      </w:pPr>
    </w:p>
    <w:p w:rsidR="00EC7983" w:rsidRPr="00D93E2E" w:rsidRDefault="00EC7983" w:rsidP="00EC7983">
      <w:pPr>
        <w:rPr>
          <w:rFonts w:ascii="Arial" w:hAnsi="Arial" w:cs="Arial"/>
          <w:sz w:val="20"/>
          <w:szCs w:val="20"/>
        </w:rPr>
      </w:pPr>
    </w:p>
    <w:p w:rsidR="00EC7983" w:rsidRPr="00D93E2E"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D93E2E" w:rsidRDefault="00C13A86" w:rsidP="00EC7983">
      <w:pPr>
        <w:rPr>
          <w:rFonts w:ascii="Arial" w:hAnsi="Arial" w:cs="Arial"/>
          <w:sz w:val="20"/>
          <w:szCs w:val="20"/>
        </w:rPr>
      </w:pPr>
    </w:p>
    <w:p w:rsidR="00EC7983" w:rsidRPr="00D93E2E"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D93E2E"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D93E2E" w:rsidRDefault="00EC7983" w:rsidP="00EC7983">
            <w:pPr>
              <w:pStyle w:val="Bezproreda"/>
              <w:jc w:val="center"/>
              <w:rPr>
                <w:rFonts w:ascii="Arial" w:hAnsi="Arial" w:cs="Arial"/>
                <w:b/>
                <w:sz w:val="20"/>
                <w:szCs w:val="20"/>
              </w:rPr>
            </w:pPr>
            <w:r w:rsidRPr="00D93E2E">
              <w:rPr>
                <w:rFonts w:ascii="Arial" w:hAnsi="Arial" w:cs="Arial"/>
                <w:b/>
                <w:sz w:val="20"/>
                <w:szCs w:val="20"/>
              </w:rPr>
              <w:t>Prilog: 13</w:t>
            </w:r>
          </w:p>
        </w:tc>
        <w:tc>
          <w:tcPr>
            <w:tcW w:w="7053"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rPr>
                <w:rFonts w:ascii="Arial" w:hAnsi="Arial" w:cs="Arial"/>
                <w:b/>
                <w:sz w:val="20"/>
                <w:szCs w:val="20"/>
              </w:rPr>
            </w:pPr>
          </w:p>
          <w:p w:rsidR="00EC7983" w:rsidRPr="00D93E2E" w:rsidRDefault="00EC7983" w:rsidP="00EC7983">
            <w:pPr>
              <w:pStyle w:val="Bezproreda"/>
              <w:rPr>
                <w:rFonts w:ascii="Arial" w:hAnsi="Arial" w:cs="Arial"/>
                <w:b/>
                <w:sz w:val="20"/>
                <w:szCs w:val="20"/>
              </w:rPr>
            </w:pPr>
            <w:r w:rsidRPr="00D93E2E">
              <w:rPr>
                <w:rFonts w:ascii="Arial" w:hAnsi="Arial" w:cs="Arial"/>
                <w:b/>
                <w:sz w:val="20"/>
                <w:szCs w:val="20"/>
              </w:rPr>
              <w:t>GODIŠNJI IZVJEŠTAJ O IZVRŠENJU PRORAČUNA GRADA BIOGRADA NA MORU ZA 2022. GODINU</w:t>
            </w:r>
          </w:p>
          <w:p w:rsidR="00EC7983" w:rsidRPr="00D93E2E" w:rsidRDefault="00EC7983" w:rsidP="00EC7983">
            <w:pPr>
              <w:pStyle w:val="Bezproreda"/>
              <w:rPr>
                <w:rFonts w:ascii="Arial" w:hAnsi="Arial" w:cs="Arial"/>
                <w:b/>
                <w:sz w:val="20"/>
                <w:szCs w:val="20"/>
              </w:rPr>
            </w:pPr>
          </w:p>
        </w:tc>
      </w:tr>
      <w:tr w:rsidR="00EC7983" w:rsidRPr="00D93E2E" w:rsidTr="00EC7983">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D93E2E"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b/>
                <w:sz w:val="20"/>
                <w:szCs w:val="20"/>
              </w:rPr>
            </w:pPr>
            <w:r w:rsidRPr="00D93E2E">
              <w:rPr>
                <w:rFonts w:ascii="Arial" w:hAnsi="Arial" w:cs="Arial"/>
                <w:b/>
                <w:sz w:val="20"/>
                <w:szCs w:val="20"/>
              </w:rPr>
              <w:t>Primljene pomoći iz fondova EU</w:t>
            </w:r>
          </w:p>
          <w:p w:rsidR="00EC7983" w:rsidRPr="00D93E2E" w:rsidRDefault="00EC7983" w:rsidP="00EC7983">
            <w:pPr>
              <w:pStyle w:val="Bezproreda"/>
              <w:rPr>
                <w:rFonts w:ascii="Arial" w:hAnsi="Arial" w:cs="Arial"/>
                <w:sz w:val="20"/>
                <w:szCs w:val="20"/>
              </w:rPr>
            </w:pPr>
          </w:p>
        </w:tc>
      </w:tr>
    </w:tbl>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DA3565" w:rsidRPr="00D93E2E" w:rsidRDefault="00DA3565"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546"/>
        <w:gridCol w:w="2822"/>
        <w:gridCol w:w="3693"/>
      </w:tblGrid>
      <w:tr w:rsidR="00EC7983" w:rsidRPr="00D93E2E" w:rsidTr="00C13A86">
        <w:tc>
          <w:tcPr>
            <w:tcW w:w="2546"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rPr>
                <w:rFonts w:ascii="Arial" w:hAnsi="Arial" w:cs="Arial"/>
                <w:sz w:val="20"/>
                <w:szCs w:val="20"/>
              </w:rPr>
            </w:pPr>
          </w:p>
          <w:p w:rsidR="00EC7983" w:rsidRPr="00D93E2E" w:rsidRDefault="00EC7983" w:rsidP="00EC7983">
            <w:pPr>
              <w:pStyle w:val="Bezproreda"/>
              <w:jc w:val="center"/>
              <w:rPr>
                <w:rFonts w:ascii="Arial" w:hAnsi="Arial" w:cs="Arial"/>
                <w:sz w:val="20"/>
                <w:szCs w:val="20"/>
              </w:rPr>
            </w:pPr>
            <w:r w:rsidRPr="00D93E2E">
              <w:rPr>
                <w:rFonts w:ascii="Arial" w:hAnsi="Arial" w:cs="Arial"/>
                <w:sz w:val="20"/>
                <w:szCs w:val="20"/>
              </w:rPr>
              <w:t>KLASA: 400-01/23-04/01</w:t>
            </w:r>
          </w:p>
          <w:p w:rsidR="00EC7983" w:rsidRPr="00D93E2E" w:rsidRDefault="00EC7983" w:rsidP="00EC7983">
            <w:pPr>
              <w:pStyle w:val="Bezproreda"/>
              <w:rPr>
                <w:rFonts w:ascii="Arial" w:hAnsi="Arial" w:cs="Arial"/>
                <w:sz w:val="20"/>
                <w:szCs w:val="20"/>
              </w:rPr>
            </w:pPr>
          </w:p>
        </w:tc>
        <w:tc>
          <w:tcPr>
            <w:tcW w:w="2822"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jc w:val="center"/>
              <w:rPr>
                <w:rFonts w:ascii="Arial" w:hAnsi="Arial" w:cs="Arial"/>
                <w:sz w:val="20"/>
                <w:szCs w:val="20"/>
              </w:rPr>
            </w:pPr>
          </w:p>
          <w:p w:rsidR="00EC7983" w:rsidRPr="00D93E2E" w:rsidRDefault="00EC7983" w:rsidP="00EC7983">
            <w:pPr>
              <w:pStyle w:val="Bezproreda"/>
              <w:jc w:val="center"/>
              <w:rPr>
                <w:rFonts w:ascii="Arial" w:hAnsi="Arial" w:cs="Arial"/>
                <w:sz w:val="20"/>
                <w:szCs w:val="20"/>
              </w:rPr>
            </w:pPr>
            <w:r w:rsidRPr="00D93E2E">
              <w:rPr>
                <w:rFonts w:ascii="Arial" w:hAnsi="Arial" w:cs="Arial"/>
                <w:sz w:val="20"/>
                <w:szCs w:val="20"/>
              </w:rPr>
              <w:t>URBROJ: 2198-16-01-23-2</w:t>
            </w:r>
          </w:p>
        </w:tc>
        <w:tc>
          <w:tcPr>
            <w:tcW w:w="3693" w:type="dxa"/>
            <w:tcBorders>
              <w:top w:val="single" w:sz="4" w:space="0" w:color="auto"/>
              <w:left w:val="single" w:sz="4" w:space="0" w:color="auto"/>
              <w:bottom w:val="single" w:sz="4" w:space="0" w:color="auto"/>
              <w:right w:val="single" w:sz="4" w:space="0" w:color="auto"/>
            </w:tcBorders>
          </w:tcPr>
          <w:p w:rsidR="00EC7983" w:rsidRPr="00D93E2E" w:rsidRDefault="00EC7983" w:rsidP="00EC7983">
            <w:pPr>
              <w:pStyle w:val="Bezproreda"/>
              <w:jc w:val="center"/>
              <w:rPr>
                <w:rFonts w:ascii="Arial" w:hAnsi="Arial" w:cs="Arial"/>
                <w:sz w:val="20"/>
                <w:szCs w:val="20"/>
                <w:highlight w:val="yellow"/>
              </w:rPr>
            </w:pPr>
          </w:p>
          <w:p w:rsidR="00EC7983" w:rsidRPr="00D93E2E" w:rsidRDefault="00EC7983" w:rsidP="00EC7983">
            <w:pPr>
              <w:pStyle w:val="Bezproreda"/>
              <w:jc w:val="center"/>
              <w:rPr>
                <w:rFonts w:ascii="Arial" w:hAnsi="Arial" w:cs="Arial"/>
                <w:sz w:val="20"/>
                <w:szCs w:val="20"/>
                <w:highlight w:val="yellow"/>
              </w:rPr>
            </w:pPr>
            <w:r w:rsidRPr="00D93E2E">
              <w:rPr>
                <w:rFonts w:ascii="Arial" w:hAnsi="Arial" w:cs="Arial"/>
                <w:sz w:val="20"/>
                <w:szCs w:val="20"/>
              </w:rPr>
              <w:t>Biograd na Moru, 18. travnja 2023.</w:t>
            </w:r>
          </w:p>
        </w:tc>
      </w:tr>
    </w:tbl>
    <w:p w:rsidR="00EC7983" w:rsidRPr="00D93E2E" w:rsidRDefault="00EC7983" w:rsidP="00EC7983">
      <w:pPr>
        <w:pStyle w:val="Bezproreda"/>
        <w:rPr>
          <w:rFonts w:ascii="Arial" w:hAnsi="Arial" w:cs="Arial"/>
          <w:sz w:val="20"/>
          <w:szCs w:val="20"/>
        </w:rPr>
      </w:pPr>
    </w:p>
    <w:p w:rsidR="000D1964" w:rsidRDefault="000D1964" w:rsidP="000D1964">
      <w:pPr>
        <w:pStyle w:val="Bezproreda"/>
        <w:jc w:val="center"/>
        <w:rPr>
          <w:rFonts w:ascii="Arial" w:hAnsi="Arial" w:cs="Arial"/>
          <w:b/>
          <w:sz w:val="20"/>
          <w:szCs w:val="20"/>
        </w:rPr>
      </w:pPr>
    </w:p>
    <w:p w:rsidR="000D1964" w:rsidRPr="000D1964" w:rsidRDefault="000D1964" w:rsidP="000D1964">
      <w:pPr>
        <w:pStyle w:val="Bezproreda"/>
        <w:jc w:val="center"/>
        <w:rPr>
          <w:rFonts w:ascii="Arial" w:hAnsi="Arial" w:cs="Arial"/>
          <w:b/>
          <w:sz w:val="20"/>
          <w:szCs w:val="20"/>
        </w:rPr>
      </w:pPr>
      <w:r w:rsidRPr="00470C59">
        <w:rPr>
          <w:rFonts w:ascii="Arial" w:hAnsi="Arial" w:cs="Arial"/>
          <w:b/>
          <w:sz w:val="20"/>
          <w:szCs w:val="20"/>
        </w:rPr>
        <w:t>Primljene pomoći iz fondova EU</w:t>
      </w:r>
    </w:p>
    <w:p w:rsidR="000D1964" w:rsidRPr="00470C59" w:rsidRDefault="000D1964" w:rsidP="000D1964">
      <w:pPr>
        <w:pStyle w:val="Bezproreda"/>
        <w:jc w:val="both"/>
        <w:rPr>
          <w:rFonts w:ascii="Arial" w:hAnsi="Arial" w:cs="Arial"/>
          <w:sz w:val="20"/>
          <w:szCs w:val="20"/>
        </w:rPr>
      </w:pPr>
    </w:p>
    <w:p w:rsidR="000D1964" w:rsidRDefault="000D1964" w:rsidP="000D1964">
      <w:pPr>
        <w:jc w:val="both"/>
        <w:rPr>
          <w:rFonts w:ascii="Arial" w:hAnsi="Arial" w:cs="Arial"/>
          <w:b/>
          <w:bCs/>
          <w:sz w:val="20"/>
          <w:szCs w:val="20"/>
        </w:rPr>
      </w:pPr>
      <w:r w:rsidRPr="00470C59">
        <w:rPr>
          <w:rFonts w:ascii="Arial" w:hAnsi="Arial" w:cs="Arial"/>
          <w:b/>
          <w:bCs/>
          <w:sz w:val="20"/>
          <w:szCs w:val="20"/>
        </w:rPr>
        <w:t>Projekt "Zaželi BnM"</w:t>
      </w:r>
    </w:p>
    <w:p w:rsidR="000D1964" w:rsidRPr="00470C59" w:rsidRDefault="000D1964" w:rsidP="000D1964">
      <w:pPr>
        <w:jc w:val="both"/>
        <w:rPr>
          <w:rFonts w:ascii="Arial" w:hAnsi="Arial" w:cs="Arial"/>
          <w:b/>
          <w:bCs/>
          <w:sz w:val="20"/>
          <w:szCs w:val="20"/>
        </w:rPr>
      </w:pPr>
    </w:p>
    <w:p w:rsidR="000D1964" w:rsidRPr="00470C59" w:rsidRDefault="000D1964" w:rsidP="000D1964">
      <w:pPr>
        <w:jc w:val="both"/>
        <w:rPr>
          <w:rFonts w:ascii="Arial" w:hAnsi="Arial" w:cs="Arial"/>
          <w:sz w:val="20"/>
          <w:szCs w:val="20"/>
        </w:rPr>
      </w:pPr>
      <w:r w:rsidRPr="00470C59">
        <w:rPr>
          <w:rFonts w:ascii="Arial" w:hAnsi="Arial" w:cs="Arial"/>
          <w:sz w:val="20"/>
          <w:szCs w:val="20"/>
        </w:rPr>
        <w:t>Projekt "Zaželi BnM" gdje je Grad Biograd na Moru partner sa HZZ Područni ured Zadar, CZSS Biograd na Moru, Udruga Nada i Općina Tkon. Ukupna vrijednost projekta: 444.860,00 kn bespovratnih sredstava - 15% Državni proračun RH i 85% ESF. Razdoblje provedbe projekta je 8 mjeseci. U 2022. godini je Grad Biograd na Moru primio 177.944,00 kuna tekuće pomoći iz Državnog proračuna za projekt "Zaželi BnM".</w:t>
      </w:r>
    </w:p>
    <w:p w:rsidR="000D1964" w:rsidRPr="00470C59" w:rsidRDefault="000D1964" w:rsidP="000D1964">
      <w:pPr>
        <w:jc w:val="both"/>
        <w:rPr>
          <w:rFonts w:ascii="Arial" w:hAnsi="Arial" w:cs="Arial"/>
          <w:sz w:val="20"/>
          <w:szCs w:val="20"/>
        </w:rPr>
      </w:pPr>
      <w:r w:rsidRPr="00470C59">
        <w:rPr>
          <w:rFonts w:ascii="Arial" w:hAnsi="Arial" w:cs="Arial"/>
          <w:sz w:val="20"/>
          <w:szCs w:val="20"/>
        </w:rPr>
        <w:t>Cilj projekta je integracija nezaposlenih žena na tržište rada te kontinuirana njega i skrb za osobe starije životne dobi i nemoćne osobe u njihovim domovima kako bi imali pomoć u dostavi namirnica, lijekova i drugih potrepština, briga o osobnoj higijeni korisnika, pomoć u pripremi obroka u kućanstvima krajnjih korisnika, pomoć u održavanju čistoće stambenog prostora/domova korisnika, pružanje podrške korisnicima kroz razgovore i druženje te uključivanje u društvo, pratnja i pomoć u raznim društvenim aktivnostima, pomoć u ostvarivanju raznih prava ( plaćanje računa, dostava pomagala i sl.) i drugi poslovi vezane uz skrb starijih osoba i osoba u nepovoljnom položaju.</w:t>
      </w:r>
    </w:p>
    <w:p w:rsidR="000D1964" w:rsidRDefault="000D1964" w:rsidP="000A6DC7">
      <w:pPr>
        <w:jc w:val="center"/>
        <w:rPr>
          <w:rFonts w:ascii="Arial" w:hAnsi="Arial" w:cs="Arial"/>
        </w:rPr>
      </w:pPr>
    </w:p>
    <w:p w:rsidR="000A6DC7" w:rsidRDefault="000A6DC7" w:rsidP="000A6DC7">
      <w:pPr>
        <w:jc w:val="center"/>
        <w:rPr>
          <w:rFonts w:ascii="Arial" w:hAnsi="Arial" w:cs="Arial"/>
        </w:rPr>
      </w:pPr>
      <w:r>
        <w:rPr>
          <w:rFonts w:ascii="Arial" w:hAnsi="Arial" w:cs="Arial"/>
        </w:rPr>
        <w:t>***</w:t>
      </w:r>
    </w:p>
    <w:p w:rsidR="000D1964" w:rsidRDefault="000D1964" w:rsidP="000A6DC7">
      <w:pPr>
        <w:jc w:val="center"/>
        <w:rPr>
          <w:rFonts w:ascii="Arial" w:hAnsi="Arial" w:cs="Arial"/>
        </w:rPr>
      </w:pPr>
    </w:p>
    <w:p w:rsidR="000D1964" w:rsidRDefault="000D1964" w:rsidP="000A6DC7">
      <w:pPr>
        <w:jc w:val="center"/>
        <w:rPr>
          <w:rFonts w:ascii="Arial" w:hAnsi="Arial" w:cs="Arial"/>
        </w:rPr>
      </w:pPr>
    </w:p>
    <w:p w:rsidR="00C13A86" w:rsidRPr="002B6238" w:rsidRDefault="00C13A86" w:rsidP="000A6DC7">
      <w:pPr>
        <w:jc w:val="center"/>
        <w:rPr>
          <w:rFonts w:ascii="Arial" w:eastAsia="Calibri" w:hAnsi="Arial" w:cs="Arial"/>
          <w:szCs w:val="32"/>
        </w:rPr>
      </w:pPr>
    </w:p>
    <w:tbl>
      <w:tblPr>
        <w:tblStyle w:val="Reetkatablice"/>
        <w:tblW w:w="0" w:type="auto"/>
        <w:tblInd w:w="0" w:type="dxa"/>
        <w:tblLook w:val="04A0" w:firstRow="1" w:lastRow="0" w:firstColumn="1" w:lastColumn="0" w:noHBand="0" w:noVBand="1"/>
      </w:tblPr>
      <w:tblGrid>
        <w:gridCol w:w="1506"/>
        <w:gridCol w:w="7555"/>
      </w:tblGrid>
      <w:tr w:rsidR="00EC7983" w:rsidRPr="00B24753" w:rsidTr="00EC7983">
        <w:tc>
          <w:tcPr>
            <w:tcW w:w="1526"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jc w:val="center"/>
              <w:rPr>
                <w:rFonts w:ascii="Arial" w:hAnsi="Arial" w:cs="Arial"/>
                <w:noProof/>
                <w:color w:val="BFBFBF" w:themeColor="background1" w:themeShade="BF"/>
                <w:sz w:val="20"/>
                <w:szCs w:val="20"/>
                <w:lang w:eastAsia="hr-HR"/>
              </w:rPr>
            </w:pPr>
          </w:p>
          <w:p w:rsidR="00EC7983" w:rsidRPr="00B24753" w:rsidRDefault="00EC7983" w:rsidP="00EC7983">
            <w:pPr>
              <w:pStyle w:val="Bezproreda"/>
              <w:jc w:val="center"/>
              <w:rPr>
                <w:rFonts w:ascii="Arial" w:hAnsi="Arial" w:cs="Arial"/>
                <w:color w:val="BFBFBF" w:themeColor="background1" w:themeShade="BF"/>
                <w:sz w:val="20"/>
                <w:szCs w:val="20"/>
              </w:rPr>
            </w:pPr>
            <w:r w:rsidRPr="00B24753">
              <w:rPr>
                <w:rFonts w:ascii="Arial" w:hAnsi="Arial" w:cs="Arial"/>
                <w:noProof/>
                <w:color w:val="BFBFBF" w:themeColor="background1" w:themeShade="BF"/>
                <w:sz w:val="20"/>
                <w:szCs w:val="20"/>
              </w:rPr>
              <w:drawing>
                <wp:inline distT="0" distB="0" distL="0" distR="0" wp14:anchorId="5A8DA9BB" wp14:editId="07B563CC">
                  <wp:extent cx="409575" cy="447675"/>
                  <wp:effectExtent l="19050" t="0" r="9525" b="0"/>
                  <wp:docPr id="16"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a:srcRect/>
                          <a:stretch>
                            <a:fillRect/>
                          </a:stretch>
                        </pic:blipFill>
                        <pic:spPr bwMode="auto">
                          <a:xfrm>
                            <a:off x="0" y="0"/>
                            <a:ext cx="409575" cy="447675"/>
                          </a:xfrm>
                          <a:prstGeom prst="rect">
                            <a:avLst/>
                          </a:prstGeom>
                          <a:noFill/>
                          <a:ln w="9525">
                            <a:noFill/>
                            <a:miter lim="800000"/>
                            <a:headEnd/>
                            <a:tailEnd/>
                          </a:ln>
                        </pic:spPr>
                      </pic:pic>
                    </a:graphicData>
                  </a:graphic>
                </wp:inline>
              </w:drawing>
            </w:r>
          </w:p>
        </w:tc>
        <w:tc>
          <w:tcPr>
            <w:tcW w:w="7762"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jc w:val="center"/>
              <w:rPr>
                <w:rFonts w:ascii="Arial" w:hAnsi="Arial" w:cs="Arial"/>
                <w:b/>
                <w:color w:val="BFBFBF" w:themeColor="background1" w:themeShade="BF"/>
                <w:sz w:val="20"/>
                <w:szCs w:val="20"/>
              </w:rPr>
            </w:pPr>
          </w:p>
          <w:p w:rsidR="00EC7983" w:rsidRPr="00B24753" w:rsidRDefault="00EC7983" w:rsidP="00EC7983">
            <w:pPr>
              <w:pStyle w:val="Bezproreda"/>
              <w:jc w:val="center"/>
              <w:rPr>
                <w:rFonts w:ascii="Arial" w:hAnsi="Arial" w:cs="Arial"/>
                <w:b/>
                <w:sz w:val="20"/>
                <w:szCs w:val="20"/>
              </w:rPr>
            </w:pPr>
            <w:r w:rsidRPr="00B24753">
              <w:rPr>
                <w:rFonts w:ascii="Arial" w:hAnsi="Arial" w:cs="Arial"/>
                <w:b/>
                <w:sz w:val="20"/>
                <w:szCs w:val="20"/>
              </w:rPr>
              <w:t>REPUBLIKA HRVATSKA</w:t>
            </w:r>
          </w:p>
          <w:p w:rsidR="00EC7983" w:rsidRPr="00B24753" w:rsidRDefault="00EC7983" w:rsidP="00EC7983">
            <w:pPr>
              <w:pStyle w:val="Bezproreda"/>
              <w:jc w:val="center"/>
              <w:rPr>
                <w:rFonts w:ascii="Arial" w:hAnsi="Arial" w:cs="Arial"/>
                <w:b/>
                <w:sz w:val="20"/>
                <w:szCs w:val="20"/>
              </w:rPr>
            </w:pPr>
            <w:r w:rsidRPr="00B24753">
              <w:rPr>
                <w:rFonts w:ascii="Arial" w:hAnsi="Arial" w:cs="Arial"/>
                <w:b/>
                <w:sz w:val="20"/>
                <w:szCs w:val="20"/>
              </w:rPr>
              <w:t>ZADARSKA ŽUPANIJA</w:t>
            </w:r>
          </w:p>
          <w:p w:rsidR="00EC7983" w:rsidRPr="00B24753" w:rsidRDefault="00EC7983" w:rsidP="00EC7983">
            <w:pPr>
              <w:pStyle w:val="Bezproreda"/>
              <w:jc w:val="center"/>
              <w:rPr>
                <w:rFonts w:ascii="Arial" w:hAnsi="Arial" w:cs="Arial"/>
                <w:b/>
                <w:sz w:val="20"/>
                <w:szCs w:val="20"/>
              </w:rPr>
            </w:pPr>
            <w:r w:rsidRPr="00B24753">
              <w:rPr>
                <w:rFonts w:ascii="Arial" w:hAnsi="Arial" w:cs="Arial"/>
                <w:b/>
                <w:sz w:val="20"/>
                <w:szCs w:val="20"/>
              </w:rPr>
              <w:t>GRAD BIOGRAD NA MORU</w:t>
            </w:r>
          </w:p>
          <w:p w:rsidR="00EC7983" w:rsidRPr="00B24753" w:rsidRDefault="00EC7983" w:rsidP="00EC7983">
            <w:pPr>
              <w:pStyle w:val="Bezproreda"/>
              <w:jc w:val="center"/>
              <w:rPr>
                <w:rFonts w:ascii="Arial" w:hAnsi="Arial" w:cs="Arial"/>
                <w:color w:val="BFBFBF" w:themeColor="background1" w:themeShade="BF"/>
                <w:sz w:val="20"/>
                <w:szCs w:val="20"/>
              </w:rPr>
            </w:pPr>
          </w:p>
        </w:tc>
      </w:tr>
    </w:tbl>
    <w:p w:rsidR="00EC7983" w:rsidRPr="00B24753" w:rsidRDefault="00EC7983" w:rsidP="00EC7983">
      <w:pPr>
        <w:rPr>
          <w:rFonts w:ascii="Arial" w:hAnsi="Arial" w:cs="Arial"/>
          <w:sz w:val="20"/>
          <w:szCs w:val="20"/>
        </w:rPr>
      </w:pPr>
    </w:p>
    <w:p w:rsidR="00EC7983" w:rsidRPr="00B24753" w:rsidRDefault="00EC7983" w:rsidP="00EC7983">
      <w:pPr>
        <w:rPr>
          <w:rFonts w:ascii="Arial" w:hAnsi="Arial" w:cs="Arial"/>
          <w:sz w:val="20"/>
          <w:szCs w:val="20"/>
        </w:rPr>
      </w:pPr>
    </w:p>
    <w:p w:rsidR="00EC7983" w:rsidRPr="00B24753" w:rsidRDefault="00EC7983" w:rsidP="00EC7983">
      <w:pPr>
        <w:rPr>
          <w:rFonts w:ascii="Arial" w:hAnsi="Arial" w:cs="Arial"/>
          <w:sz w:val="20"/>
          <w:szCs w:val="20"/>
        </w:rPr>
      </w:pPr>
    </w:p>
    <w:p w:rsidR="00EC7983" w:rsidRDefault="00EC7983"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Default="00C13A86" w:rsidP="00EC7983">
      <w:pPr>
        <w:rPr>
          <w:rFonts w:ascii="Arial" w:hAnsi="Arial" w:cs="Arial"/>
          <w:sz w:val="20"/>
          <w:szCs w:val="20"/>
        </w:rPr>
      </w:pPr>
    </w:p>
    <w:p w:rsidR="00C13A86" w:rsidRPr="00B24753" w:rsidRDefault="00C13A86" w:rsidP="00EC7983">
      <w:pPr>
        <w:rPr>
          <w:rFonts w:ascii="Arial" w:hAnsi="Arial" w:cs="Arial"/>
          <w:sz w:val="20"/>
          <w:szCs w:val="20"/>
        </w:rPr>
      </w:pPr>
    </w:p>
    <w:p w:rsidR="00EC7983" w:rsidRPr="00B24753" w:rsidRDefault="00EC7983" w:rsidP="00EC7983">
      <w:pPr>
        <w:rPr>
          <w:rFonts w:ascii="Arial" w:hAnsi="Arial" w:cs="Arial"/>
          <w:sz w:val="20"/>
          <w:szCs w:val="20"/>
        </w:rPr>
      </w:pPr>
    </w:p>
    <w:p w:rsidR="00EC7983" w:rsidRPr="00B24753" w:rsidRDefault="00EC7983" w:rsidP="00EC7983">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2190"/>
        <w:gridCol w:w="6871"/>
      </w:tblGrid>
      <w:tr w:rsidR="00EC7983" w:rsidRPr="00B24753" w:rsidTr="00EC798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EC7983" w:rsidRPr="00B24753" w:rsidRDefault="00EC7983" w:rsidP="00EC7983">
            <w:pPr>
              <w:pStyle w:val="Bezproreda"/>
              <w:jc w:val="center"/>
              <w:rPr>
                <w:rFonts w:ascii="Arial" w:hAnsi="Arial" w:cs="Arial"/>
                <w:b/>
                <w:sz w:val="20"/>
                <w:szCs w:val="20"/>
              </w:rPr>
            </w:pPr>
            <w:r w:rsidRPr="00B24753">
              <w:rPr>
                <w:rFonts w:ascii="Arial" w:hAnsi="Arial" w:cs="Arial"/>
                <w:b/>
                <w:sz w:val="20"/>
                <w:szCs w:val="20"/>
              </w:rPr>
              <w:t>Prilog: 14</w:t>
            </w:r>
          </w:p>
        </w:tc>
        <w:tc>
          <w:tcPr>
            <w:tcW w:w="7053"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rPr>
                <w:rFonts w:ascii="Arial" w:hAnsi="Arial" w:cs="Arial"/>
                <w:b/>
                <w:sz w:val="20"/>
                <w:szCs w:val="20"/>
              </w:rPr>
            </w:pPr>
          </w:p>
          <w:p w:rsidR="00EC7983" w:rsidRPr="00B24753" w:rsidRDefault="00EC7983" w:rsidP="00EC7983">
            <w:pPr>
              <w:pStyle w:val="Bezproreda"/>
              <w:rPr>
                <w:rFonts w:ascii="Arial" w:hAnsi="Arial" w:cs="Arial"/>
                <w:b/>
                <w:sz w:val="20"/>
                <w:szCs w:val="20"/>
              </w:rPr>
            </w:pPr>
            <w:r w:rsidRPr="00B24753">
              <w:rPr>
                <w:rFonts w:ascii="Arial" w:hAnsi="Arial" w:cs="Arial"/>
                <w:b/>
                <w:sz w:val="20"/>
                <w:szCs w:val="20"/>
              </w:rPr>
              <w:t>GODIŠNJI IZVJEŠTAJ O IZVRŠENJU PRORAČUNA GRADA BIOGRADA NA MORU ZA 2022. GODINU</w:t>
            </w:r>
          </w:p>
          <w:p w:rsidR="00EC7983" w:rsidRPr="00B24753" w:rsidRDefault="00EC7983" w:rsidP="00EC7983">
            <w:pPr>
              <w:pStyle w:val="Bezproreda"/>
              <w:rPr>
                <w:rFonts w:ascii="Arial" w:hAnsi="Arial" w:cs="Arial"/>
                <w:b/>
                <w:sz w:val="20"/>
                <w:szCs w:val="20"/>
              </w:rPr>
            </w:pPr>
          </w:p>
        </w:tc>
      </w:tr>
      <w:tr w:rsidR="00EC7983" w:rsidRPr="00B24753" w:rsidTr="00EC7983">
        <w:tc>
          <w:tcPr>
            <w:tcW w:w="0" w:type="auto"/>
            <w:vMerge/>
            <w:tcBorders>
              <w:top w:val="single" w:sz="4" w:space="0" w:color="auto"/>
              <w:left w:val="single" w:sz="4" w:space="0" w:color="auto"/>
              <w:bottom w:val="single" w:sz="4" w:space="0" w:color="auto"/>
              <w:right w:val="single" w:sz="4" w:space="0" w:color="auto"/>
            </w:tcBorders>
            <w:vAlign w:val="center"/>
            <w:hideMark/>
          </w:tcPr>
          <w:p w:rsidR="00EC7983" w:rsidRPr="00B24753" w:rsidRDefault="00EC7983" w:rsidP="00EC7983">
            <w:pPr>
              <w:rPr>
                <w:rFonts w:ascii="Arial" w:hAnsi="Arial" w:cs="Arial"/>
                <w:b/>
                <w:sz w:val="20"/>
                <w:szCs w:val="20"/>
              </w:rPr>
            </w:pPr>
          </w:p>
        </w:tc>
        <w:tc>
          <w:tcPr>
            <w:tcW w:w="7053"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b/>
                <w:sz w:val="20"/>
                <w:szCs w:val="20"/>
              </w:rPr>
            </w:pPr>
            <w:r w:rsidRPr="00B24753">
              <w:rPr>
                <w:rFonts w:ascii="Arial" w:hAnsi="Arial" w:cs="Arial"/>
                <w:b/>
                <w:sz w:val="20"/>
                <w:szCs w:val="20"/>
              </w:rPr>
              <w:t>Obrazloženje</w:t>
            </w:r>
          </w:p>
          <w:p w:rsidR="00EC7983" w:rsidRPr="00B24753" w:rsidRDefault="00EC7983" w:rsidP="00EC7983">
            <w:pPr>
              <w:pStyle w:val="Bezproreda"/>
              <w:rPr>
                <w:rFonts w:ascii="Arial" w:hAnsi="Arial" w:cs="Arial"/>
                <w:sz w:val="20"/>
                <w:szCs w:val="20"/>
              </w:rPr>
            </w:pPr>
          </w:p>
        </w:tc>
      </w:tr>
    </w:tbl>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rPr>
          <w:rFonts w:ascii="Arial" w:hAnsi="Arial" w:cs="Arial"/>
          <w:sz w:val="20"/>
          <w:szCs w:val="20"/>
        </w:rPr>
      </w:pPr>
    </w:p>
    <w:tbl>
      <w:tblPr>
        <w:tblStyle w:val="Reetkatablice"/>
        <w:tblW w:w="0" w:type="auto"/>
        <w:tblInd w:w="0" w:type="dxa"/>
        <w:tblLook w:val="04A0" w:firstRow="1" w:lastRow="0" w:firstColumn="1" w:lastColumn="0" w:noHBand="0" w:noVBand="1"/>
      </w:tblPr>
      <w:tblGrid>
        <w:gridCol w:w="2546"/>
        <w:gridCol w:w="2822"/>
        <w:gridCol w:w="3693"/>
      </w:tblGrid>
      <w:tr w:rsidR="00EC7983" w:rsidRPr="00B24753" w:rsidTr="00EC7983">
        <w:tc>
          <w:tcPr>
            <w:tcW w:w="2547"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rPr>
                <w:rFonts w:ascii="Arial" w:hAnsi="Arial" w:cs="Arial"/>
                <w:sz w:val="20"/>
                <w:szCs w:val="20"/>
              </w:rPr>
            </w:pPr>
          </w:p>
          <w:p w:rsidR="00EC7983" w:rsidRPr="00B24753" w:rsidRDefault="00EC7983" w:rsidP="00EC7983">
            <w:pPr>
              <w:pStyle w:val="Bezproreda"/>
              <w:jc w:val="center"/>
              <w:rPr>
                <w:rFonts w:ascii="Arial" w:hAnsi="Arial" w:cs="Arial"/>
                <w:sz w:val="20"/>
                <w:szCs w:val="20"/>
              </w:rPr>
            </w:pPr>
            <w:r w:rsidRPr="00B24753">
              <w:rPr>
                <w:rFonts w:ascii="Arial" w:hAnsi="Arial" w:cs="Arial"/>
                <w:sz w:val="20"/>
                <w:szCs w:val="20"/>
              </w:rPr>
              <w:t>KLASA: 400-01/23-04/01</w:t>
            </w:r>
          </w:p>
          <w:p w:rsidR="00EC7983" w:rsidRPr="00B24753" w:rsidRDefault="00EC7983" w:rsidP="00EC7983">
            <w:pPr>
              <w:pStyle w:val="Bezproreda"/>
              <w:rPr>
                <w:rFonts w:ascii="Arial" w:hAnsi="Arial" w:cs="Arial"/>
                <w:sz w:val="20"/>
                <w:szCs w:val="20"/>
              </w:rPr>
            </w:pPr>
          </w:p>
        </w:tc>
        <w:tc>
          <w:tcPr>
            <w:tcW w:w="2822"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jc w:val="center"/>
              <w:rPr>
                <w:rFonts w:ascii="Arial" w:hAnsi="Arial" w:cs="Arial"/>
                <w:sz w:val="20"/>
                <w:szCs w:val="20"/>
              </w:rPr>
            </w:pPr>
          </w:p>
          <w:p w:rsidR="00EC7983" w:rsidRPr="00B24753" w:rsidRDefault="00EC7983" w:rsidP="00EC7983">
            <w:pPr>
              <w:pStyle w:val="Bezproreda"/>
              <w:jc w:val="center"/>
              <w:rPr>
                <w:rFonts w:ascii="Arial" w:hAnsi="Arial" w:cs="Arial"/>
                <w:sz w:val="20"/>
                <w:szCs w:val="20"/>
              </w:rPr>
            </w:pPr>
            <w:r w:rsidRPr="00B24753">
              <w:rPr>
                <w:rFonts w:ascii="Arial" w:hAnsi="Arial" w:cs="Arial"/>
                <w:sz w:val="20"/>
                <w:szCs w:val="20"/>
              </w:rPr>
              <w:t>URBROJ: 2198-16-01-23-2</w:t>
            </w:r>
          </w:p>
        </w:tc>
        <w:tc>
          <w:tcPr>
            <w:tcW w:w="3693" w:type="dxa"/>
            <w:tcBorders>
              <w:top w:val="single" w:sz="4" w:space="0" w:color="auto"/>
              <w:left w:val="single" w:sz="4" w:space="0" w:color="auto"/>
              <w:bottom w:val="single" w:sz="4" w:space="0" w:color="auto"/>
              <w:right w:val="single" w:sz="4" w:space="0" w:color="auto"/>
            </w:tcBorders>
          </w:tcPr>
          <w:p w:rsidR="00EC7983" w:rsidRPr="00B24753" w:rsidRDefault="00EC7983" w:rsidP="00EC7983">
            <w:pPr>
              <w:pStyle w:val="Bezproreda"/>
              <w:jc w:val="center"/>
              <w:rPr>
                <w:rFonts w:ascii="Arial" w:hAnsi="Arial" w:cs="Arial"/>
                <w:sz w:val="20"/>
                <w:szCs w:val="20"/>
                <w:highlight w:val="yellow"/>
              </w:rPr>
            </w:pPr>
          </w:p>
          <w:p w:rsidR="00EC7983" w:rsidRPr="00B24753" w:rsidRDefault="00EC7983" w:rsidP="00EC7983">
            <w:pPr>
              <w:pStyle w:val="Bezproreda"/>
              <w:jc w:val="center"/>
              <w:rPr>
                <w:rFonts w:ascii="Arial" w:hAnsi="Arial" w:cs="Arial"/>
                <w:sz w:val="20"/>
                <w:szCs w:val="20"/>
                <w:highlight w:val="yellow"/>
              </w:rPr>
            </w:pPr>
            <w:r w:rsidRPr="00B24753">
              <w:rPr>
                <w:rFonts w:ascii="Arial" w:hAnsi="Arial" w:cs="Arial"/>
                <w:sz w:val="20"/>
                <w:szCs w:val="20"/>
              </w:rPr>
              <w:t>Biograd na Moru, 18. travnja 2023.</w:t>
            </w:r>
          </w:p>
        </w:tc>
      </w:tr>
    </w:tbl>
    <w:p w:rsidR="00EC7983" w:rsidRPr="00B24753" w:rsidRDefault="00EC7983" w:rsidP="00EC7983">
      <w:pPr>
        <w:pStyle w:val="Bezproreda"/>
        <w:rPr>
          <w:rFonts w:ascii="Arial" w:hAnsi="Arial" w:cs="Arial"/>
          <w:sz w:val="20"/>
          <w:szCs w:val="20"/>
        </w:rPr>
      </w:pPr>
    </w:p>
    <w:p w:rsidR="00EC7983" w:rsidRDefault="00EC7983" w:rsidP="00EC7983">
      <w:pPr>
        <w:rPr>
          <w:rFonts w:ascii="Arial" w:hAnsi="Arial" w:cs="Arial"/>
          <w:sz w:val="20"/>
          <w:szCs w:val="20"/>
        </w:rPr>
      </w:pPr>
    </w:p>
    <w:p w:rsidR="00BD6122" w:rsidRPr="006B4EF1" w:rsidRDefault="00BD6122" w:rsidP="00BD6122">
      <w:pPr>
        <w:jc w:val="center"/>
        <w:rPr>
          <w:rFonts w:ascii="Arial" w:hAnsi="Arial" w:cs="Arial"/>
          <w:b/>
          <w:sz w:val="20"/>
          <w:szCs w:val="20"/>
        </w:rPr>
      </w:pPr>
      <w:r w:rsidRPr="006B4EF1">
        <w:rPr>
          <w:rFonts w:ascii="Arial" w:hAnsi="Arial" w:cs="Arial"/>
          <w:b/>
          <w:sz w:val="20"/>
          <w:szCs w:val="20"/>
        </w:rPr>
        <w:lastRenderedPageBreak/>
        <w:t>OBRAZLOŽENJE</w:t>
      </w:r>
    </w:p>
    <w:p w:rsidR="00BD6122" w:rsidRDefault="00BD6122" w:rsidP="00BD6122">
      <w:pPr>
        <w:jc w:val="center"/>
        <w:rPr>
          <w:rFonts w:ascii="Arial" w:hAnsi="Arial" w:cs="Arial"/>
          <w:b/>
          <w:sz w:val="20"/>
          <w:szCs w:val="20"/>
        </w:rPr>
      </w:pPr>
      <w:r w:rsidRPr="006B4EF1">
        <w:rPr>
          <w:rFonts w:ascii="Arial" w:hAnsi="Arial" w:cs="Arial"/>
          <w:b/>
          <w:sz w:val="20"/>
          <w:szCs w:val="20"/>
        </w:rPr>
        <w:t xml:space="preserve">uz Prijedlog Godišnjeg izvještaja o izvršenju Proračuna Grada Biograda na Moru </w:t>
      </w:r>
    </w:p>
    <w:p w:rsidR="00BD6122" w:rsidRDefault="00BD6122" w:rsidP="00BD6122">
      <w:pPr>
        <w:jc w:val="center"/>
        <w:rPr>
          <w:rFonts w:ascii="Arial" w:hAnsi="Arial" w:cs="Arial"/>
          <w:b/>
          <w:sz w:val="20"/>
          <w:szCs w:val="20"/>
        </w:rPr>
      </w:pPr>
      <w:r w:rsidRPr="006B4EF1">
        <w:rPr>
          <w:rFonts w:ascii="Arial" w:hAnsi="Arial" w:cs="Arial"/>
          <w:b/>
          <w:sz w:val="20"/>
          <w:szCs w:val="20"/>
        </w:rPr>
        <w:t>za 2022. godinu</w:t>
      </w:r>
    </w:p>
    <w:p w:rsidR="00BD6122" w:rsidRPr="006B4EF1" w:rsidRDefault="00BD6122" w:rsidP="00BD6122">
      <w:pPr>
        <w:jc w:val="center"/>
        <w:rPr>
          <w:rFonts w:ascii="Arial" w:hAnsi="Arial" w:cs="Arial"/>
          <w:b/>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Proračun Grada Biograda na Moru za 2022. godinu i Odluku o izvršavanju Proračuna Grada Biograda na Moru za 2022. godinu usvojilo je Gradsko vijeće na 5. sjednici od 28. prosinca 2021. godine, objavljeno u Glasniku Grada Biograda na Moru broj 12/2021, 28. prosinca 2021. godine. Ukupni prihodi i primici Proračuna za 2022. godinu planirani su u iznosu od 322.386.718,00 kuna, rashodi i izdaci u iznosu od 297.386.718,00 kn te pokriće manjka u iznosu od 25.000.000,00 kuna.</w:t>
      </w:r>
    </w:p>
    <w:p w:rsidR="00BD6122" w:rsidRPr="006B4EF1" w:rsidRDefault="00BD6122" w:rsidP="00BD6122">
      <w:pPr>
        <w:jc w:val="both"/>
        <w:rPr>
          <w:rFonts w:ascii="Arial" w:hAnsi="Arial" w:cs="Arial"/>
          <w:sz w:val="20"/>
          <w:szCs w:val="20"/>
        </w:rPr>
      </w:pPr>
      <w:r w:rsidRPr="006B4EF1">
        <w:rPr>
          <w:rFonts w:ascii="Arial" w:hAnsi="Arial" w:cs="Arial"/>
          <w:sz w:val="20"/>
          <w:szCs w:val="20"/>
        </w:rPr>
        <w:t>Prve Izmjene i dopune Proračuna Grada Biograda na Moru za 2022. godinu (Rebalans I) donijelo je Gradsko vijeće Grada Biograda na Moru na 7. sjednici održanoj dana 25. ožujka 2022. godine, a objavljene su u Glasniku Grada Biograda na Moru broj 02/2022 od 26. ožujka 2022. godine te je isti iznosio 336.213.218,00 kuna.</w:t>
      </w:r>
    </w:p>
    <w:p w:rsidR="00BD6122" w:rsidRPr="006B4EF1" w:rsidRDefault="00BD6122" w:rsidP="00BD6122">
      <w:pPr>
        <w:jc w:val="both"/>
        <w:rPr>
          <w:rFonts w:ascii="Arial" w:hAnsi="Arial" w:cs="Arial"/>
          <w:sz w:val="20"/>
          <w:szCs w:val="20"/>
        </w:rPr>
      </w:pPr>
      <w:r w:rsidRPr="006B4EF1">
        <w:rPr>
          <w:rFonts w:ascii="Arial" w:hAnsi="Arial" w:cs="Arial"/>
          <w:sz w:val="20"/>
          <w:szCs w:val="20"/>
        </w:rPr>
        <w:t>Druge Izmjene i dopune Proračuna Grada Biograda na Moru za 2022. godinu (Rebalans II) donijelo je Gradsko vijeće Grada Biograda na Moru na 13. sjednici održanoj 21. prosinca 2022. godine, a objavljene su u Glasniku Grada Biograda na Moru broj 12/2022 od 21. prosinca 2022. godine te je isti iznosio 112.508.326,00 kuna.</w:t>
      </w:r>
    </w:p>
    <w:p w:rsidR="00BD6122" w:rsidRPr="006B4EF1" w:rsidRDefault="00BD6122" w:rsidP="00BD6122">
      <w:pPr>
        <w:jc w:val="both"/>
        <w:rPr>
          <w:rFonts w:ascii="Arial" w:hAnsi="Arial" w:cs="Arial"/>
          <w:sz w:val="20"/>
          <w:szCs w:val="20"/>
        </w:rPr>
      </w:pPr>
      <w:r w:rsidRPr="006B4EF1">
        <w:rPr>
          <w:rFonts w:ascii="Arial" w:hAnsi="Arial" w:cs="Arial"/>
          <w:sz w:val="20"/>
          <w:szCs w:val="20"/>
        </w:rPr>
        <w:t>Proračun Grada za 2022. godinu izvršavao se  u skladu s posebnim programima i njihovim Izmjenama i dopunama koji su usvojeni od strane Gradskog vijeća Grada Biograda na Moru.</w:t>
      </w:r>
    </w:p>
    <w:p w:rsidR="00BD6122" w:rsidRPr="006B4EF1" w:rsidRDefault="00BD6122" w:rsidP="00BD6122">
      <w:pPr>
        <w:pStyle w:val="Default"/>
        <w:jc w:val="both"/>
        <w:rPr>
          <w:sz w:val="20"/>
          <w:szCs w:val="20"/>
        </w:rPr>
      </w:pPr>
      <w:r w:rsidRPr="006B4EF1">
        <w:rPr>
          <w:sz w:val="20"/>
          <w:szCs w:val="20"/>
        </w:rPr>
        <w:t>Zakonom o proračunu (“Narodne novine” broj 144/21.) i Pravilnikom o polugodišnjem i godišnjem izvještaju o izvršenju proračuna ("Narodne novine" br. 24/13., 102/17., 1/20., 147/20.), propisana je obveza sastavljanja i podnošenja godišnjeg izvještaja o izvršenju proračuna za prethodnu godinu, te ga uputiti na donošenje predstavničkom tijelu jedinice lokalne i područne (regionalne) samouprave do 31. svibnja tekuće godine.</w:t>
      </w:r>
    </w:p>
    <w:p w:rsidR="00BD6122" w:rsidRPr="006B4EF1" w:rsidRDefault="00BD6122" w:rsidP="00BD6122">
      <w:pPr>
        <w:pStyle w:val="Default"/>
        <w:jc w:val="both"/>
        <w:rPr>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Pravilnikom o polugodišnjem i godišnjem izvještaju o izvršenju proračuna („Narodne novine“ broj 24/13., 102/17. i 01/20), propisano je da Godišnji izvještaj o izvršenju proračuna sadrži:</w:t>
      </w:r>
    </w:p>
    <w:p w:rsidR="00BD6122" w:rsidRPr="006B4EF1" w:rsidRDefault="00BD6122" w:rsidP="00BD6122">
      <w:pPr>
        <w:pStyle w:val="Odlomakpopisa"/>
        <w:numPr>
          <w:ilvl w:val="0"/>
          <w:numId w:val="23"/>
        </w:numPr>
        <w:jc w:val="both"/>
        <w:rPr>
          <w:rFonts w:ascii="Arial" w:hAnsi="Arial" w:cs="Arial"/>
          <w:sz w:val="20"/>
          <w:szCs w:val="20"/>
        </w:rPr>
      </w:pPr>
      <w:bookmarkStart w:id="0" w:name="_Ref10099786"/>
      <w:r w:rsidRPr="006B4EF1">
        <w:rPr>
          <w:rFonts w:ascii="Arial" w:hAnsi="Arial" w:cs="Arial"/>
          <w:sz w:val="20"/>
          <w:szCs w:val="20"/>
        </w:rPr>
        <w:t>Opći dio proračuna sadrži:</w:t>
      </w:r>
      <w:bookmarkEnd w:id="0"/>
    </w:p>
    <w:p w:rsidR="00BD6122" w:rsidRPr="006B4EF1" w:rsidRDefault="00BD6122" w:rsidP="00BD6122">
      <w:pPr>
        <w:pStyle w:val="Odlomakpopisa"/>
        <w:numPr>
          <w:ilvl w:val="0"/>
          <w:numId w:val="27"/>
        </w:numPr>
        <w:jc w:val="both"/>
        <w:rPr>
          <w:rFonts w:ascii="Arial" w:hAnsi="Arial" w:cs="Arial"/>
          <w:sz w:val="20"/>
          <w:szCs w:val="20"/>
        </w:rPr>
      </w:pPr>
      <w:r w:rsidRPr="006B4EF1">
        <w:rPr>
          <w:rFonts w:ascii="Arial" w:hAnsi="Arial" w:cs="Arial"/>
          <w:sz w:val="20"/>
          <w:szCs w:val="20"/>
        </w:rPr>
        <w:t>Račun prihoda i rashoda</w:t>
      </w:r>
    </w:p>
    <w:p w:rsidR="00BD6122" w:rsidRPr="006B4EF1" w:rsidRDefault="00BD6122" w:rsidP="00BD6122">
      <w:pPr>
        <w:pStyle w:val="Odlomakpopisa"/>
        <w:numPr>
          <w:ilvl w:val="0"/>
          <w:numId w:val="27"/>
        </w:numPr>
        <w:jc w:val="both"/>
        <w:rPr>
          <w:rFonts w:ascii="Arial" w:hAnsi="Arial" w:cs="Arial"/>
          <w:sz w:val="20"/>
          <w:szCs w:val="20"/>
        </w:rPr>
      </w:pPr>
      <w:r w:rsidRPr="006B4EF1">
        <w:rPr>
          <w:rFonts w:ascii="Arial" w:hAnsi="Arial" w:cs="Arial"/>
          <w:sz w:val="20"/>
          <w:szCs w:val="20"/>
        </w:rPr>
        <w:t>Račun financiranja</w:t>
      </w:r>
    </w:p>
    <w:p w:rsidR="00BD6122" w:rsidRPr="006B4EF1" w:rsidRDefault="00BD6122" w:rsidP="00BD6122">
      <w:pPr>
        <w:pStyle w:val="Odlomakpopisa"/>
        <w:numPr>
          <w:ilvl w:val="0"/>
          <w:numId w:val="31"/>
        </w:numPr>
        <w:jc w:val="both"/>
        <w:rPr>
          <w:rFonts w:ascii="Arial" w:hAnsi="Arial" w:cs="Arial"/>
          <w:sz w:val="20"/>
          <w:szCs w:val="20"/>
        </w:rPr>
      </w:pPr>
      <w:r w:rsidRPr="006B4EF1">
        <w:rPr>
          <w:rFonts w:ascii="Arial" w:hAnsi="Arial" w:cs="Arial"/>
          <w:sz w:val="20"/>
          <w:szCs w:val="20"/>
        </w:rPr>
        <w:t>Račun prihoda i rashoda proračuna sadrži:</w:t>
      </w:r>
    </w:p>
    <w:p w:rsidR="00BD6122" w:rsidRPr="006B4EF1" w:rsidRDefault="00BD6122" w:rsidP="00BD6122">
      <w:pPr>
        <w:pStyle w:val="Odlomakpopisa"/>
        <w:numPr>
          <w:ilvl w:val="0"/>
          <w:numId w:val="26"/>
        </w:numPr>
        <w:jc w:val="both"/>
        <w:rPr>
          <w:rFonts w:ascii="Arial" w:hAnsi="Arial" w:cs="Arial"/>
          <w:sz w:val="20"/>
          <w:szCs w:val="20"/>
        </w:rPr>
      </w:pPr>
      <w:r w:rsidRPr="006B4EF1">
        <w:rPr>
          <w:rFonts w:ascii="Arial" w:hAnsi="Arial" w:cs="Arial"/>
          <w:sz w:val="20"/>
          <w:szCs w:val="20"/>
        </w:rPr>
        <w:t>Prihodi i rashodi prema ekonomskoj klasifikaciji</w:t>
      </w:r>
    </w:p>
    <w:p w:rsidR="00BD6122" w:rsidRPr="006B4EF1" w:rsidRDefault="00BD6122" w:rsidP="00BD6122">
      <w:pPr>
        <w:pStyle w:val="Odlomakpopisa"/>
        <w:numPr>
          <w:ilvl w:val="0"/>
          <w:numId w:val="26"/>
        </w:numPr>
        <w:jc w:val="both"/>
        <w:rPr>
          <w:rFonts w:ascii="Arial" w:hAnsi="Arial" w:cs="Arial"/>
          <w:sz w:val="20"/>
          <w:szCs w:val="20"/>
        </w:rPr>
      </w:pPr>
      <w:r w:rsidRPr="006B4EF1">
        <w:rPr>
          <w:rFonts w:ascii="Arial" w:hAnsi="Arial" w:cs="Arial"/>
          <w:sz w:val="20"/>
          <w:szCs w:val="20"/>
        </w:rPr>
        <w:t>Prihodi i rashodi prema izvorima financiranja</w:t>
      </w:r>
    </w:p>
    <w:p w:rsidR="00BD6122" w:rsidRPr="006B4EF1" w:rsidRDefault="00BD6122" w:rsidP="00BD6122">
      <w:pPr>
        <w:pStyle w:val="Odlomakpopisa"/>
        <w:numPr>
          <w:ilvl w:val="0"/>
          <w:numId w:val="26"/>
        </w:numPr>
        <w:jc w:val="both"/>
        <w:rPr>
          <w:rFonts w:ascii="Arial" w:hAnsi="Arial" w:cs="Arial"/>
          <w:sz w:val="20"/>
          <w:szCs w:val="20"/>
        </w:rPr>
      </w:pPr>
      <w:r w:rsidRPr="006B4EF1">
        <w:rPr>
          <w:rFonts w:ascii="Arial" w:hAnsi="Arial" w:cs="Arial"/>
          <w:sz w:val="20"/>
          <w:szCs w:val="20"/>
        </w:rPr>
        <w:t>Rashodi prema funkcijskoj klasifikaciji</w:t>
      </w:r>
    </w:p>
    <w:p w:rsidR="00BD6122" w:rsidRPr="006B4EF1" w:rsidRDefault="00BD6122" w:rsidP="00BD6122">
      <w:pPr>
        <w:pStyle w:val="Odlomakpopisa"/>
        <w:numPr>
          <w:ilvl w:val="0"/>
          <w:numId w:val="31"/>
        </w:numPr>
        <w:jc w:val="both"/>
        <w:rPr>
          <w:rFonts w:ascii="Arial" w:hAnsi="Arial" w:cs="Arial"/>
          <w:sz w:val="20"/>
          <w:szCs w:val="20"/>
        </w:rPr>
      </w:pPr>
      <w:r w:rsidRPr="006B4EF1">
        <w:rPr>
          <w:rFonts w:ascii="Arial" w:hAnsi="Arial" w:cs="Arial"/>
          <w:sz w:val="20"/>
          <w:szCs w:val="20"/>
        </w:rPr>
        <w:t>Račun financiranja sadrži:</w:t>
      </w:r>
    </w:p>
    <w:p w:rsidR="00BD6122" w:rsidRPr="006B4EF1" w:rsidRDefault="00BD6122" w:rsidP="00BD6122">
      <w:pPr>
        <w:pStyle w:val="Odlomakpopisa"/>
        <w:numPr>
          <w:ilvl w:val="0"/>
          <w:numId w:val="28"/>
        </w:numPr>
        <w:jc w:val="both"/>
        <w:rPr>
          <w:rFonts w:ascii="Arial" w:hAnsi="Arial" w:cs="Arial"/>
          <w:sz w:val="20"/>
          <w:szCs w:val="20"/>
        </w:rPr>
      </w:pPr>
      <w:r w:rsidRPr="006B4EF1">
        <w:rPr>
          <w:rFonts w:ascii="Arial" w:hAnsi="Arial" w:cs="Arial"/>
          <w:sz w:val="20"/>
          <w:szCs w:val="20"/>
        </w:rPr>
        <w:t>Račun financiranja prema ekonomskoj klasifikaciji</w:t>
      </w:r>
    </w:p>
    <w:p w:rsidR="00BD6122" w:rsidRPr="006B4EF1" w:rsidRDefault="00BD6122" w:rsidP="00BD6122">
      <w:pPr>
        <w:pStyle w:val="Odlomakpopisa"/>
        <w:numPr>
          <w:ilvl w:val="0"/>
          <w:numId w:val="28"/>
        </w:numPr>
        <w:jc w:val="both"/>
        <w:rPr>
          <w:rFonts w:ascii="Arial" w:hAnsi="Arial" w:cs="Arial"/>
          <w:sz w:val="20"/>
          <w:szCs w:val="20"/>
        </w:rPr>
      </w:pPr>
      <w:r w:rsidRPr="006B4EF1">
        <w:rPr>
          <w:rFonts w:ascii="Arial" w:hAnsi="Arial" w:cs="Arial"/>
          <w:sz w:val="20"/>
          <w:szCs w:val="20"/>
        </w:rPr>
        <w:t>Račun financiranja prema izvorima financiranja</w:t>
      </w:r>
    </w:p>
    <w:p w:rsidR="00BD6122" w:rsidRPr="006B4EF1" w:rsidRDefault="00BD6122" w:rsidP="00BD6122">
      <w:pPr>
        <w:pStyle w:val="Odlomakpopisa"/>
        <w:numPr>
          <w:ilvl w:val="0"/>
          <w:numId w:val="23"/>
        </w:numPr>
        <w:jc w:val="both"/>
        <w:rPr>
          <w:rFonts w:ascii="Arial" w:hAnsi="Arial" w:cs="Arial"/>
          <w:sz w:val="20"/>
          <w:szCs w:val="20"/>
        </w:rPr>
      </w:pPr>
      <w:r w:rsidRPr="006B4EF1">
        <w:rPr>
          <w:rFonts w:ascii="Arial" w:hAnsi="Arial" w:cs="Arial"/>
          <w:sz w:val="20"/>
          <w:szCs w:val="20"/>
        </w:rPr>
        <w:t>Posebni dio proračuna sadrži:</w:t>
      </w:r>
    </w:p>
    <w:p w:rsidR="00BD6122" w:rsidRPr="006B4EF1" w:rsidRDefault="00BD6122" w:rsidP="00BD6122">
      <w:pPr>
        <w:pStyle w:val="Odlomakpopisa"/>
        <w:numPr>
          <w:ilvl w:val="0"/>
          <w:numId w:val="29"/>
        </w:numPr>
        <w:ind w:hanging="357"/>
        <w:jc w:val="both"/>
        <w:rPr>
          <w:rFonts w:ascii="Arial" w:hAnsi="Arial" w:cs="Arial"/>
          <w:sz w:val="20"/>
          <w:szCs w:val="20"/>
        </w:rPr>
      </w:pPr>
      <w:r w:rsidRPr="006B4EF1">
        <w:rPr>
          <w:rFonts w:ascii="Arial" w:hAnsi="Arial" w:cs="Arial"/>
          <w:sz w:val="20"/>
          <w:szCs w:val="20"/>
        </w:rPr>
        <w:t>Izvršenje po organizacijskoj klasifikaciji</w:t>
      </w:r>
    </w:p>
    <w:p w:rsidR="00BD6122" w:rsidRPr="006B4EF1" w:rsidRDefault="00BD6122" w:rsidP="00BD6122">
      <w:pPr>
        <w:pStyle w:val="Odlomakpopisa"/>
        <w:numPr>
          <w:ilvl w:val="0"/>
          <w:numId w:val="29"/>
        </w:numPr>
        <w:ind w:hanging="357"/>
        <w:jc w:val="both"/>
        <w:rPr>
          <w:rFonts w:ascii="Arial" w:hAnsi="Arial" w:cs="Arial"/>
          <w:sz w:val="20"/>
          <w:szCs w:val="20"/>
        </w:rPr>
      </w:pPr>
      <w:r w:rsidRPr="006B4EF1">
        <w:rPr>
          <w:rFonts w:ascii="Arial" w:hAnsi="Arial" w:cs="Arial"/>
          <w:sz w:val="20"/>
          <w:szCs w:val="20"/>
        </w:rPr>
        <w:t>Izvršenje po programskoj klasfikaciji</w:t>
      </w:r>
    </w:p>
    <w:p w:rsidR="00BD6122" w:rsidRPr="006B4EF1" w:rsidRDefault="00BD6122" w:rsidP="00BD6122">
      <w:pPr>
        <w:pStyle w:val="Odlomakpopisa"/>
        <w:numPr>
          <w:ilvl w:val="0"/>
          <w:numId w:val="23"/>
        </w:numPr>
        <w:ind w:hanging="357"/>
        <w:jc w:val="both"/>
        <w:rPr>
          <w:rFonts w:ascii="Arial" w:hAnsi="Arial" w:cs="Arial"/>
          <w:sz w:val="20"/>
          <w:szCs w:val="20"/>
        </w:rPr>
      </w:pPr>
      <w:r w:rsidRPr="006B4EF1">
        <w:rPr>
          <w:rFonts w:ascii="Arial" w:hAnsi="Arial" w:cs="Arial"/>
          <w:sz w:val="20"/>
          <w:szCs w:val="20"/>
        </w:rPr>
        <w:t>Izvještaj o zaduživanju na domaćem i stranom tržištu novca i kapitala</w:t>
      </w:r>
    </w:p>
    <w:p w:rsidR="00BD6122" w:rsidRPr="006B4EF1" w:rsidRDefault="00BD6122" w:rsidP="00BD6122">
      <w:pPr>
        <w:pStyle w:val="Odlomakpopisa"/>
        <w:numPr>
          <w:ilvl w:val="0"/>
          <w:numId w:val="23"/>
        </w:numPr>
        <w:ind w:hanging="357"/>
        <w:jc w:val="both"/>
        <w:rPr>
          <w:rFonts w:ascii="Arial" w:hAnsi="Arial" w:cs="Arial"/>
          <w:sz w:val="20"/>
          <w:szCs w:val="20"/>
        </w:rPr>
      </w:pPr>
      <w:r w:rsidRPr="006B4EF1">
        <w:rPr>
          <w:rFonts w:ascii="Arial" w:hAnsi="Arial" w:cs="Arial"/>
          <w:sz w:val="20"/>
          <w:szCs w:val="20"/>
        </w:rPr>
        <w:t>Izvještaj o korištenju proračunske zalihe</w:t>
      </w:r>
    </w:p>
    <w:p w:rsidR="00BD6122" w:rsidRPr="006B4EF1" w:rsidRDefault="00BD6122" w:rsidP="00BD6122">
      <w:pPr>
        <w:pStyle w:val="Odlomakpopisa"/>
        <w:numPr>
          <w:ilvl w:val="0"/>
          <w:numId w:val="23"/>
        </w:numPr>
        <w:ind w:hanging="357"/>
        <w:jc w:val="both"/>
        <w:rPr>
          <w:rFonts w:ascii="Arial" w:hAnsi="Arial" w:cs="Arial"/>
          <w:sz w:val="20"/>
          <w:szCs w:val="20"/>
        </w:rPr>
      </w:pPr>
      <w:r w:rsidRPr="006B4EF1">
        <w:rPr>
          <w:rFonts w:ascii="Arial" w:hAnsi="Arial" w:cs="Arial"/>
          <w:sz w:val="20"/>
          <w:szCs w:val="20"/>
        </w:rPr>
        <w:t>Izvještaj o danim jamstvima i izdacima po jamstvima</w:t>
      </w:r>
    </w:p>
    <w:p w:rsidR="00BD6122" w:rsidRPr="006B4EF1" w:rsidRDefault="00BD6122" w:rsidP="00BD6122">
      <w:pPr>
        <w:pStyle w:val="Odlomakpopisa"/>
        <w:numPr>
          <w:ilvl w:val="0"/>
          <w:numId w:val="23"/>
        </w:numPr>
        <w:ind w:hanging="357"/>
        <w:jc w:val="both"/>
        <w:rPr>
          <w:rFonts w:ascii="Arial" w:hAnsi="Arial" w:cs="Arial"/>
          <w:sz w:val="20"/>
          <w:szCs w:val="20"/>
        </w:rPr>
      </w:pPr>
      <w:r w:rsidRPr="006B4EF1">
        <w:rPr>
          <w:rFonts w:ascii="Arial" w:hAnsi="Arial" w:cs="Arial"/>
          <w:sz w:val="20"/>
          <w:szCs w:val="20"/>
        </w:rPr>
        <w:t>Stanje nenaplaćenih potraživanja, neplaćene dospjele obveze i potencijalne obveze za sudske sporove</w:t>
      </w:r>
    </w:p>
    <w:p w:rsidR="00BD6122" w:rsidRPr="006B4EF1" w:rsidRDefault="00BD6122" w:rsidP="00BD6122">
      <w:pPr>
        <w:pStyle w:val="Odlomakpopisa"/>
        <w:numPr>
          <w:ilvl w:val="0"/>
          <w:numId w:val="23"/>
        </w:numPr>
        <w:ind w:hanging="357"/>
        <w:jc w:val="both"/>
        <w:rPr>
          <w:rFonts w:ascii="Arial" w:hAnsi="Arial" w:cs="Arial"/>
          <w:sz w:val="20"/>
          <w:szCs w:val="20"/>
        </w:rPr>
      </w:pPr>
      <w:r w:rsidRPr="006B4EF1">
        <w:rPr>
          <w:rFonts w:ascii="Arial" w:hAnsi="Arial" w:cs="Arial"/>
          <w:sz w:val="20"/>
          <w:szCs w:val="20"/>
        </w:rPr>
        <w:t>Primljene pomoći iz fondova EU</w:t>
      </w:r>
    </w:p>
    <w:p w:rsidR="00BD6122" w:rsidRPr="006B4EF1" w:rsidRDefault="00BD6122" w:rsidP="00BD6122">
      <w:pPr>
        <w:pStyle w:val="Odlomakpopisa"/>
        <w:numPr>
          <w:ilvl w:val="0"/>
          <w:numId w:val="23"/>
        </w:numPr>
        <w:ind w:hanging="357"/>
        <w:jc w:val="both"/>
        <w:rPr>
          <w:rFonts w:ascii="Arial" w:hAnsi="Arial" w:cs="Arial"/>
          <w:sz w:val="20"/>
          <w:szCs w:val="20"/>
        </w:rPr>
      </w:pPr>
      <w:r w:rsidRPr="006B4EF1">
        <w:rPr>
          <w:rFonts w:ascii="Arial" w:hAnsi="Arial" w:cs="Arial"/>
          <w:sz w:val="20"/>
          <w:szCs w:val="20"/>
        </w:rPr>
        <w:t>Obrazloženje.</w:t>
      </w:r>
    </w:p>
    <w:p w:rsidR="00BD6122"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Godišnji izvještaj o izvršenju Proračuna Grada Biograda na Moru za 2022. godinu ujedno je i </w:t>
      </w:r>
      <w:r w:rsidRPr="006B4EF1">
        <w:rPr>
          <w:rFonts w:ascii="Arial" w:hAnsi="Arial" w:cs="Arial"/>
          <w:b/>
          <w:bCs/>
          <w:sz w:val="20"/>
          <w:szCs w:val="20"/>
        </w:rPr>
        <w:t xml:space="preserve">konsolidirani godišnji izvještaj o izvršenju proračuna </w:t>
      </w:r>
      <w:r w:rsidRPr="006B4EF1">
        <w:rPr>
          <w:rFonts w:ascii="Arial" w:hAnsi="Arial" w:cs="Arial"/>
          <w:sz w:val="20"/>
          <w:szCs w:val="20"/>
        </w:rPr>
        <w:t>u kojem su obuhvaćeni svi prihodi i rashodi proračunskih korisnika. Proračunski korisnici Grada Biograda na Moru su:</w:t>
      </w:r>
    </w:p>
    <w:p w:rsidR="00BD6122" w:rsidRPr="006B4EF1" w:rsidRDefault="00BD6122" w:rsidP="00BD6122">
      <w:pPr>
        <w:pStyle w:val="Odlomakpopisa"/>
        <w:numPr>
          <w:ilvl w:val="0"/>
          <w:numId w:val="30"/>
        </w:numPr>
        <w:jc w:val="both"/>
        <w:rPr>
          <w:rFonts w:ascii="Arial" w:hAnsi="Arial" w:cs="Arial"/>
          <w:sz w:val="20"/>
          <w:szCs w:val="20"/>
        </w:rPr>
      </w:pPr>
      <w:r w:rsidRPr="006B4EF1">
        <w:rPr>
          <w:rFonts w:ascii="Arial" w:hAnsi="Arial" w:cs="Arial"/>
          <w:sz w:val="20"/>
          <w:szCs w:val="20"/>
        </w:rPr>
        <w:t>Gradska knjižnica Biograd</w:t>
      </w:r>
    </w:p>
    <w:p w:rsidR="00BD6122" w:rsidRPr="006B4EF1" w:rsidRDefault="00BD6122" w:rsidP="00BD6122">
      <w:pPr>
        <w:pStyle w:val="Odlomakpopisa"/>
        <w:numPr>
          <w:ilvl w:val="0"/>
          <w:numId w:val="30"/>
        </w:numPr>
        <w:jc w:val="both"/>
        <w:rPr>
          <w:rFonts w:ascii="Arial" w:hAnsi="Arial" w:cs="Arial"/>
          <w:sz w:val="20"/>
          <w:szCs w:val="20"/>
        </w:rPr>
      </w:pPr>
      <w:r w:rsidRPr="006B4EF1">
        <w:rPr>
          <w:rFonts w:ascii="Arial" w:hAnsi="Arial" w:cs="Arial"/>
          <w:sz w:val="20"/>
          <w:szCs w:val="20"/>
        </w:rPr>
        <w:t>Zavičajni muzej Biograd</w:t>
      </w:r>
    </w:p>
    <w:p w:rsidR="00BD6122" w:rsidRPr="006B4EF1" w:rsidRDefault="00BD6122" w:rsidP="00BD6122">
      <w:pPr>
        <w:pStyle w:val="Odlomakpopisa"/>
        <w:numPr>
          <w:ilvl w:val="0"/>
          <w:numId w:val="30"/>
        </w:numPr>
        <w:jc w:val="both"/>
        <w:rPr>
          <w:rFonts w:ascii="Arial" w:hAnsi="Arial" w:cs="Arial"/>
          <w:sz w:val="20"/>
          <w:szCs w:val="20"/>
        </w:rPr>
      </w:pPr>
      <w:r w:rsidRPr="006B4EF1">
        <w:rPr>
          <w:rFonts w:ascii="Arial" w:hAnsi="Arial" w:cs="Arial"/>
          <w:sz w:val="20"/>
          <w:szCs w:val="20"/>
        </w:rPr>
        <w:t>Pučko otvoreno učilište Biograd</w:t>
      </w:r>
    </w:p>
    <w:p w:rsidR="00BD6122" w:rsidRPr="006B4EF1" w:rsidRDefault="00BD6122" w:rsidP="00BD6122">
      <w:pPr>
        <w:pStyle w:val="Odlomakpopisa"/>
        <w:numPr>
          <w:ilvl w:val="0"/>
          <w:numId w:val="30"/>
        </w:numPr>
        <w:jc w:val="both"/>
        <w:rPr>
          <w:rFonts w:ascii="Arial" w:hAnsi="Arial" w:cs="Arial"/>
          <w:sz w:val="20"/>
          <w:szCs w:val="20"/>
        </w:rPr>
      </w:pPr>
      <w:r w:rsidRPr="006B4EF1">
        <w:rPr>
          <w:rFonts w:ascii="Arial" w:hAnsi="Arial" w:cs="Arial"/>
          <w:sz w:val="20"/>
          <w:szCs w:val="20"/>
        </w:rPr>
        <w:t>Dječji vrtić Ivana Brlić Mažuranić</w:t>
      </w:r>
    </w:p>
    <w:p w:rsidR="00BD6122" w:rsidRPr="006B4EF1" w:rsidRDefault="00BD6122" w:rsidP="00BD6122">
      <w:pPr>
        <w:pStyle w:val="Odlomakpopisa"/>
        <w:numPr>
          <w:ilvl w:val="0"/>
          <w:numId w:val="30"/>
        </w:numPr>
        <w:jc w:val="both"/>
        <w:rPr>
          <w:rFonts w:ascii="Arial" w:hAnsi="Arial" w:cs="Arial"/>
          <w:sz w:val="20"/>
          <w:szCs w:val="20"/>
        </w:rPr>
      </w:pPr>
      <w:r w:rsidRPr="006B4EF1">
        <w:rPr>
          <w:rFonts w:ascii="Arial" w:hAnsi="Arial" w:cs="Arial"/>
          <w:sz w:val="20"/>
          <w:szCs w:val="20"/>
        </w:rPr>
        <w:t>Javna vatrogasna pristojba Biograd.</w:t>
      </w:r>
    </w:p>
    <w:p w:rsidR="00BD6122" w:rsidRPr="006B4EF1" w:rsidRDefault="00BD6122" w:rsidP="00BD6122">
      <w:pPr>
        <w:jc w:val="both"/>
        <w:rPr>
          <w:rFonts w:ascii="Arial" w:hAnsi="Arial" w:cs="Arial"/>
          <w:sz w:val="20"/>
          <w:szCs w:val="20"/>
        </w:rPr>
      </w:pPr>
      <w:r w:rsidRPr="006B4EF1">
        <w:rPr>
          <w:rFonts w:ascii="Arial" w:hAnsi="Arial" w:cs="Arial"/>
          <w:sz w:val="20"/>
          <w:szCs w:val="20"/>
        </w:rPr>
        <w:t>Nastavno se daje obrazloženje ostvarenja prihoda i primitaka te izvršenja rashoda i izdataka u 2022. godini u odnosu na planirano Proračunom za 2022.godinu.</w:t>
      </w:r>
    </w:p>
    <w:p w:rsidR="00BD6122" w:rsidRPr="006B4EF1" w:rsidRDefault="00BD6122" w:rsidP="00BD6122">
      <w:pPr>
        <w:jc w:val="both"/>
        <w:rPr>
          <w:rFonts w:ascii="Arial" w:hAnsi="Arial" w:cs="Arial"/>
          <w:sz w:val="20"/>
          <w:szCs w:val="20"/>
        </w:rPr>
      </w:pPr>
    </w:p>
    <w:tbl>
      <w:tblPr>
        <w:tblStyle w:val="Reetkatablice"/>
        <w:tblW w:w="0" w:type="auto"/>
        <w:tblInd w:w="0" w:type="dxa"/>
        <w:tblLook w:val="04A0" w:firstRow="1" w:lastRow="0" w:firstColumn="1" w:lastColumn="0" w:noHBand="0" w:noVBand="1"/>
      </w:tblPr>
      <w:tblGrid>
        <w:gridCol w:w="9061"/>
      </w:tblGrid>
      <w:tr w:rsidR="00BD6122" w:rsidRPr="006B4EF1" w:rsidTr="00FA4A65">
        <w:tc>
          <w:tcPr>
            <w:tcW w:w="9288" w:type="dxa"/>
          </w:tcPr>
          <w:p w:rsidR="00BD6122" w:rsidRPr="006B4EF1" w:rsidRDefault="00BD6122" w:rsidP="00BD6122">
            <w:pPr>
              <w:pStyle w:val="Odlomakpopisa"/>
              <w:numPr>
                <w:ilvl w:val="0"/>
                <w:numId w:val="34"/>
              </w:numPr>
              <w:jc w:val="both"/>
              <w:rPr>
                <w:rFonts w:ascii="Arial" w:hAnsi="Arial" w:cs="Arial"/>
                <w:sz w:val="20"/>
                <w:szCs w:val="20"/>
              </w:rPr>
            </w:pPr>
            <w:r w:rsidRPr="006B4EF1">
              <w:rPr>
                <w:rFonts w:ascii="Arial" w:hAnsi="Arial" w:cs="Arial"/>
                <w:b/>
                <w:sz w:val="20"/>
                <w:szCs w:val="20"/>
              </w:rPr>
              <w:lastRenderedPageBreak/>
              <w:t>OPĆI DIO PRORAČUNA</w:t>
            </w:r>
            <w:r w:rsidRPr="006B4EF1">
              <w:rPr>
                <w:rFonts w:ascii="Arial" w:hAnsi="Arial" w:cs="Arial"/>
                <w:sz w:val="20"/>
                <w:szCs w:val="20"/>
              </w:rPr>
              <w:t xml:space="preserve"> (Prilog 1, 2, 3, 4, 5 i 6)</w:t>
            </w:r>
          </w:p>
        </w:tc>
      </w:tr>
    </w:tbl>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b/>
          <w:sz w:val="20"/>
          <w:szCs w:val="20"/>
          <w:u w:val="single"/>
        </w:rPr>
      </w:pPr>
      <w:r w:rsidRPr="006B4EF1">
        <w:rPr>
          <w:rFonts w:ascii="Arial" w:hAnsi="Arial" w:cs="Arial"/>
          <w:b/>
          <w:sz w:val="20"/>
          <w:szCs w:val="20"/>
          <w:u w:val="single"/>
        </w:rPr>
        <w:t>RAČUN PRIHODA I RASHODA</w:t>
      </w: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Ukupni prihodi i primici proračuna za 2022. godinu iznose </w:t>
      </w:r>
      <w:r w:rsidRPr="006B4EF1">
        <w:rPr>
          <w:rFonts w:ascii="Arial" w:hAnsi="Arial" w:cs="Arial"/>
          <w:b/>
          <w:sz w:val="20"/>
          <w:szCs w:val="20"/>
        </w:rPr>
        <w:t xml:space="preserve">73.962.874,21 </w:t>
      </w:r>
      <w:r w:rsidRPr="006B4EF1">
        <w:rPr>
          <w:rFonts w:ascii="Arial" w:hAnsi="Arial" w:cs="Arial"/>
          <w:sz w:val="20"/>
          <w:szCs w:val="20"/>
        </w:rPr>
        <w:t xml:space="preserve">kunu. Od toga prihodi poslovanja iznose </w:t>
      </w:r>
      <w:r w:rsidRPr="006B4EF1">
        <w:rPr>
          <w:rFonts w:ascii="Arial" w:hAnsi="Arial" w:cs="Arial"/>
          <w:b/>
          <w:sz w:val="20"/>
          <w:szCs w:val="20"/>
        </w:rPr>
        <w:t>54.559.280,00</w:t>
      </w:r>
      <w:r w:rsidRPr="006B4EF1">
        <w:rPr>
          <w:rFonts w:ascii="Arial" w:hAnsi="Arial" w:cs="Arial"/>
          <w:sz w:val="20"/>
          <w:szCs w:val="20"/>
        </w:rPr>
        <w:t xml:space="preserve"> kuna, prihodi od prodaje nefinancijske imovine iznose </w:t>
      </w:r>
      <w:r w:rsidRPr="006B4EF1">
        <w:rPr>
          <w:rFonts w:ascii="Arial" w:hAnsi="Arial" w:cs="Arial"/>
          <w:b/>
          <w:sz w:val="20"/>
          <w:szCs w:val="20"/>
        </w:rPr>
        <w:t xml:space="preserve">15.133.155,45 </w:t>
      </w:r>
      <w:r w:rsidRPr="006B4EF1">
        <w:rPr>
          <w:rFonts w:ascii="Arial" w:hAnsi="Arial" w:cs="Arial"/>
          <w:sz w:val="20"/>
          <w:szCs w:val="20"/>
        </w:rPr>
        <w:t xml:space="preserve">kuna te primici od zaduživanja </w:t>
      </w:r>
      <w:r w:rsidRPr="006B4EF1">
        <w:rPr>
          <w:rFonts w:ascii="Arial" w:hAnsi="Arial" w:cs="Arial"/>
          <w:b/>
          <w:sz w:val="20"/>
          <w:szCs w:val="20"/>
        </w:rPr>
        <w:t>4.270.438,76</w:t>
      </w:r>
      <w:r w:rsidRPr="006B4EF1">
        <w:rPr>
          <w:rFonts w:ascii="Arial" w:hAnsi="Arial" w:cs="Arial"/>
          <w:sz w:val="20"/>
          <w:szCs w:val="20"/>
        </w:rPr>
        <w:t xml:space="preserve"> kuna .</w:t>
      </w:r>
    </w:p>
    <w:p w:rsidR="00BD6122" w:rsidRPr="006B4EF1" w:rsidRDefault="00BD6122" w:rsidP="00BD6122">
      <w:pPr>
        <w:jc w:val="both"/>
        <w:rPr>
          <w:rFonts w:ascii="Arial" w:hAnsi="Arial" w:cs="Arial"/>
          <w:sz w:val="20"/>
          <w:szCs w:val="20"/>
        </w:rPr>
      </w:pPr>
      <w:r w:rsidRPr="006B4EF1">
        <w:rPr>
          <w:rFonts w:ascii="Arial" w:hAnsi="Arial" w:cs="Arial"/>
          <w:b/>
          <w:bCs/>
          <w:sz w:val="20"/>
          <w:szCs w:val="20"/>
        </w:rPr>
        <w:t xml:space="preserve">Prihodi poslovanja </w:t>
      </w:r>
      <w:r w:rsidRPr="006B4EF1">
        <w:rPr>
          <w:rFonts w:ascii="Arial" w:hAnsi="Arial" w:cs="Arial"/>
          <w:sz w:val="20"/>
          <w:szCs w:val="20"/>
        </w:rPr>
        <w:t xml:space="preserve">izvršeni su u iznosu od </w:t>
      </w:r>
      <w:r w:rsidRPr="006B4EF1">
        <w:rPr>
          <w:rFonts w:ascii="Arial" w:hAnsi="Arial" w:cs="Arial"/>
          <w:b/>
          <w:sz w:val="20"/>
          <w:szCs w:val="20"/>
        </w:rPr>
        <w:t xml:space="preserve">50.278.625,51 </w:t>
      </w:r>
      <w:r w:rsidRPr="006B4EF1">
        <w:rPr>
          <w:rFonts w:ascii="Arial" w:hAnsi="Arial" w:cs="Arial"/>
          <w:bCs/>
          <w:sz w:val="20"/>
          <w:szCs w:val="20"/>
        </w:rPr>
        <w:t>kuna</w:t>
      </w:r>
      <w:r w:rsidRPr="006B4EF1">
        <w:rPr>
          <w:rFonts w:ascii="Arial" w:hAnsi="Arial" w:cs="Arial"/>
          <w:b/>
          <w:bCs/>
          <w:sz w:val="20"/>
          <w:szCs w:val="20"/>
        </w:rPr>
        <w:t xml:space="preserve"> </w:t>
      </w:r>
      <w:r w:rsidRPr="006B4EF1">
        <w:rPr>
          <w:rFonts w:ascii="Arial" w:hAnsi="Arial" w:cs="Arial"/>
          <w:sz w:val="20"/>
          <w:szCs w:val="20"/>
        </w:rPr>
        <w:t>što je 69,59% u odnosu na plan, a odnose se na prihode od poreza, pomoći iz inozemstva (darovnice) i od subjekata unutar općeg proračuna, prihode od imovine, prihode od administrativnih i upravnih pristojbi, pristojbi po posebnim propisima i naknada, prihode od prodaje proizvoda i robe te pruženih usluga i prihode od donacija, te kazne, upravne mjere i ostale prihode.</w:t>
      </w:r>
    </w:p>
    <w:p w:rsidR="00BD6122" w:rsidRPr="006B4EF1" w:rsidRDefault="00BD6122" w:rsidP="00BD6122">
      <w:pPr>
        <w:pStyle w:val="Default"/>
        <w:jc w:val="both"/>
        <w:rPr>
          <w:sz w:val="20"/>
          <w:szCs w:val="20"/>
        </w:rPr>
      </w:pPr>
      <w:r w:rsidRPr="006B4EF1">
        <w:rPr>
          <w:b/>
          <w:sz w:val="20"/>
          <w:szCs w:val="20"/>
        </w:rPr>
        <w:t>Prihodi od poreza,</w:t>
      </w:r>
      <w:r w:rsidRPr="006B4EF1">
        <w:rPr>
          <w:sz w:val="20"/>
          <w:szCs w:val="20"/>
        </w:rPr>
        <w:t xml:space="preserve"> koji su najznačajniji prihodi poslovanja u 2022. godini, ostvareni su u iznosu od 24.547.975,64 kuna.</w:t>
      </w:r>
    </w:p>
    <w:p w:rsidR="00BD6122" w:rsidRPr="006B4EF1" w:rsidRDefault="00BD6122" w:rsidP="00BD6122">
      <w:pPr>
        <w:pStyle w:val="Default"/>
        <w:jc w:val="both"/>
        <w:rPr>
          <w:sz w:val="20"/>
          <w:szCs w:val="20"/>
        </w:rPr>
      </w:pPr>
    </w:p>
    <w:p w:rsidR="00BD6122" w:rsidRPr="006B4EF1" w:rsidRDefault="00BD6122" w:rsidP="00BD6122">
      <w:pPr>
        <w:jc w:val="both"/>
        <w:rPr>
          <w:rFonts w:ascii="Arial" w:hAnsi="Arial" w:cs="Arial"/>
          <w:sz w:val="20"/>
          <w:szCs w:val="20"/>
        </w:rPr>
      </w:pPr>
      <w:r w:rsidRPr="006B4EF1">
        <w:rPr>
          <w:rFonts w:ascii="Arial" w:hAnsi="Arial" w:cs="Arial"/>
          <w:b/>
          <w:i/>
          <w:sz w:val="20"/>
          <w:szCs w:val="20"/>
        </w:rPr>
        <w:t xml:space="preserve">Ukupni prihodi i primici </w:t>
      </w:r>
      <w:r w:rsidRPr="006B4EF1">
        <w:rPr>
          <w:rFonts w:ascii="Arial" w:hAnsi="Arial" w:cs="Arial"/>
          <w:sz w:val="20"/>
          <w:szCs w:val="20"/>
        </w:rPr>
        <w:t xml:space="preserve">za 2022. godinu bili su planirani u iznosu od 112.455.812,00 kuna, ostvareni u iznosu od </w:t>
      </w:r>
      <w:r w:rsidRPr="006B4EF1">
        <w:rPr>
          <w:rFonts w:ascii="Arial" w:hAnsi="Arial" w:cs="Arial"/>
          <w:b/>
          <w:sz w:val="20"/>
          <w:szCs w:val="20"/>
        </w:rPr>
        <w:t>73.962.874,21</w:t>
      </w:r>
      <w:r w:rsidRPr="006B4EF1">
        <w:rPr>
          <w:rFonts w:ascii="Arial" w:hAnsi="Arial" w:cs="Arial"/>
          <w:sz w:val="20"/>
          <w:szCs w:val="20"/>
        </w:rPr>
        <w:t xml:space="preserve"> kunu ili 65,80% od planiranog iznosa. Razlozi većeg ostvarenja prihoda u 2022. godini proizlaze uglavnom iz ostvarenja prihoda tri pozicije proračuna i to:</w:t>
      </w:r>
    </w:p>
    <w:p w:rsidR="00BD6122" w:rsidRPr="006B4EF1" w:rsidRDefault="00BD6122" w:rsidP="00BD6122">
      <w:pPr>
        <w:pStyle w:val="Odlomakpopisa"/>
        <w:numPr>
          <w:ilvl w:val="0"/>
          <w:numId w:val="24"/>
        </w:numPr>
        <w:jc w:val="both"/>
        <w:rPr>
          <w:rFonts w:ascii="Arial" w:hAnsi="Arial" w:cs="Arial"/>
          <w:sz w:val="20"/>
          <w:szCs w:val="20"/>
        </w:rPr>
      </w:pPr>
      <w:r w:rsidRPr="006B4EF1">
        <w:rPr>
          <w:rFonts w:ascii="Arial" w:hAnsi="Arial" w:cs="Arial"/>
          <w:sz w:val="20"/>
          <w:szCs w:val="20"/>
        </w:rPr>
        <w:t>prihodi od komunalnog doprinosa</w:t>
      </w:r>
    </w:p>
    <w:p w:rsidR="00BD6122" w:rsidRPr="006B4EF1" w:rsidRDefault="00BD6122" w:rsidP="00BD6122">
      <w:pPr>
        <w:pStyle w:val="Odlomakpopisa"/>
        <w:numPr>
          <w:ilvl w:val="0"/>
          <w:numId w:val="24"/>
        </w:numPr>
        <w:jc w:val="both"/>
        <w:rPr>
          <w:rFonts w:ascii="Arial" w:hAnsi="Arial" w:cs="Arial"/>
          <w:sz w:val="20"/>
          <w:szCs w:val="20"/>
        </w:rPr>
      </w:pPr>
      <w:r w:rsidRPr="006B4EF1">
        <w:rPr>
          <w:rFonts w:ascii="Arial" w:hAnsi="Arial" w:cs="Arial"/>
          <w:sz w:val="20"/>
          <w:szCs w:val="20"/>
        </w:rPr>
        <w:t>prihodi od komunalne naknade</w:t>
      </w:r>
    </w:p>
    <w:p w:rsidR="00BD6122" w:rsidRPr="006B4EF1" w:rsidRDefault="00BD6122" w:rsidP="00BD6122">
      <w:pPr>
        <w:pStyle w:val="Odlomakpopisa"/>
        <w:numPr>
          <w:ilvl w:val="0"/>
          <w:numId w:val="24"/>
        </w:numPr>
        <w:jc w:val="both"/>
        <w:rPr>
          <w:rFonts w:ascii="Arial" w:hAnsi="Arial" w:cs="Arial"/>
          <w:sz w:val="20"/>
          <w:szCs w:val="20"/>
        </w:rPr>
      </w:pPr>
      <w:r w:rsidRPr="006B4EF1">
        <w:rPr>
          <w:rFonts w:ascii="Arial" w:hAnsi="Arial" w:cs="Arial"/>
          <w:sz w:val="20"/>
          <w:szCs w:val="20"/>
        </w:rPr>
        <w:t>prihodi od prodaje zemljišta</w:t>
      </w:r>
    </w:p>
    <w:p w:rsidR="00BD6122" w:rsidRPr="006B4EF1" w:rsidRDefault="00BD6122" w:rsidP="00BD6122">
      <w:pPr>
        <w:pStyle w:val="Odlomakpopisa"/>
        <w:numPr>
          <w:ilvl w:val="0"/>
          <w:numId w:val="24"/>
        </w:numPr>
        <w:jc w:val="both"/>
        <w:rPr>
          <w:rFonts w:ascii="Arial" w:hAnsi="Arial" w:cs="Arial"/>
          <w:sz w:val="20"/>
          <w:szCs w:val="20"/>
        </w:rPr>
      </w:pPr>
      <w:r w:rsidRPr="006B4EF1">
        <w:rPr>
          <w:rFonts w:ascii="Arial" w:hAnsi="Arial" w:cs="Arial"/>
          <w:sz w:val="20"/>
          <w:szCs w:val="20"/>
        </w:rPr>
        <w:t>prihodi od zakupa i iznajmljivanja imovine.</w:t>
      </w: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U apsolutnom iznosu, najveće ostvarenje je kod prihoda od prodaje nefinancijske imovine. </w:t>
      </w: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Prihodi od komunalnog doprinosa su planirani su u iznosu od 18.680.000,00 kuna, a ostvareni su u iznosu od 4.577.987,68 kuna odnosno 24,51% od planiranog. Komunalni doprinos nije ostvaren u planiranom iznosu iz razloga što su investicijske aktivnosti smanjene te su realizacije nekih projekata odgođene za sljedeća razdoblja, dok se većina uplata komunalnog doprinosa odnosi se na uplate za legalizaciju građevina te stambenu izgradnju. </w:t>
      </w: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Prihodi od prodaje zemljišta su planirani  u iznosu od 23.502.541,00 kuna, a ostvareni u iznosu od 14.216.235,02 kuna odnosno 60,50%. </w:t>
      </w:r>
    </w:p>
    <w:p w:rsidR="00BD6122" w:rsidRPr="006B4EF1" w:rsidRDefault="00BD6122" w:rsidP="00BD6122">
      <w:pPr>
        <w:jc w:val="both"/>
        <w:rPr>
          <w:rFonts w:ascii="Arial" w:hAnsi="Arial" w:cs="Arial"/>
          <w:sz w:val="20"/>
          <w:szCs w:val="20"/>
        </w:rPr>
      </w:pPr>
      <w:r w:rsidRPr="006B4EF1">
        <w:rPr>
          <w:rFonts w:ascii="Arial" w:hAnsi="Arial" w:cs="Arial"/>
          <w:sz w:val="20"/>
          <w:szCs w:val="20"/>
        </w:rPr>
        <w:t>Ostali prihodi su ostvareni u planiranim okvirima te s manjim odstupanjima.</w:t>
      </w:r>
    </w:p>
    <w:p w:rsidR="00BD6122" w:rsidRPr="006B4EF1" w:rsidRDefault="00BD6122" w:rsidP="00BD6122">
      <w:pPr>
        <w:jc w:val="both"/>
        <w:rPr>
          <w:rFonts w:ascii="Arial" w:hAnsi="Arial" w:cs="Arial"/>
          <w:sz w:val="20"/>
          <w:szCs w:val="20"/>
        </w:rPr>
      </w:pPr>
      <w:r w:rsidRPr="006B4EF1">
        <w:rPr>
          <w:rFonts w:ascii="Arial" w:hAnsi="Arial" w:cs="Arial"/>
          <w:b/>
          <w:i/>
          <w:sz w:val="20"/>
          <w:szCs w:val="20"/>
        </w:rPr>
        <w:t xml:space="preserve">Ukupni rashodi i izdaci </w:t>
      </w:r>
      <w:r w:rsidRPr="006B4EF1">
        <w:rPr>
          <w:rFonts w:ascii="Arial" w:hAnsi="Arial" w:cs="Arial"/>
          <w:bCs/>
          <w:iCs/>
          <w:sz w:val="20"/>
          <w:szCs w:val="20"/>
        </w:rPr>
        <w:t>proračuna</w:t>
      </w:r>
      <w:r w:rsidRPr="006B4EF1">
        <w:rPr>
          <w:rFonts w:ascii="Arial" w:hAnsi="Arial" w:cs="Arial"/>
          <w:b/>
          <w:i/>
          <w:sz w:val="20"/>
          <w:szCs w:val="20"/>
        </w:rPr>
        <w:t xml:space="preserve"> </w:t>
      </w:r>
      <w:r w:rsidRPr="006B4EF1">
        <w:rPr>
          <w:rFonts w:ascii="Arial" w:hAnsi="Arial" w:cs="Arial"/>
          <w:sz w:val="20"/>
          <w:szCs w:val="20"/>
        </w:rPr>
        <w:t xml:space="preserve">za 2022. godinu bili su planirani u iznosu od 112.455.812,00 kuna, ostvareni u iznosu od </w:t>
      </w:r>
      <w:r w:rsidRPr="006B4EF1">
        <w:rPr>
          <w:rFonts w:ascii="Arial" w:hAnsi="Arial" w:cs="Arial"/>
          <w:b/>
          <w:sz w:val="20"/>
          <w:szCs w:val="20"/>
        </w:rPr>
        <w:t xml:space="preserve">64.122.290,09 kuna </w:t>
      </w:r>
      <w:r w:rsidRPr="006B4EF1">
        <w:rPr>
          <w:rFonts w:ascii="Arial" w:hAnsi="Arial" w:cs="Arial"/>
          <w:sz w:val="20"/>
          <w:szCs w:val="20"/>
        </w:rPr>
        <w:t>ili 57,10% od planiranog iznosa. Od toga rashodi poslovanja iznose 43.964.487,68 kuna, rashodi za nabavu nefinancijske imovine iznose 15.247.462,76 kuna te izdaci za financijsku imovinu i otplate zajmova 4.710.640,33 kuna.</w:t>
      </w:r>
    </w:p>
    <w:p w:rsidR="00BD6122" w:rsidRPr="006B4EF1" w:rsidRDefault="00BD6122" w:rsidP="00BD6122">
      <w:pPr>
        <w:jc w:val="both"/>
        <w:rPr>
          <w:rFonts w:ascii="Arial" w:hAnsi="Arial" w:cs="Arial"/>
          <w:sz w:val="20"/>
          <w:szCs w:val="20"/>
        </w:rPr>
      </w:pPr>
      <w:r w:rsidRPr="006B4EF1">
        <w:rPr>
          <w:rFonts w:ascii="Arial" w:hAnsi="Arial" w:cs="Arial"/>
          <w:b/>
          <w:sz w:val="20"/>
          <w:szCs w:val="20"/>
        </w:rPr>
        <w:t>Rashodi poslovanja</w:t>
      </w:r>
      <w:r w:rsidRPr="006B4EF1">
        <w:rPr>
          <w:rFonts w:ascii="Arial" w:hAnsi="Arial" w:cs="Arial"/>
          <w:sz w:val="20"/>
          <w:szCs w:val="20"/>
        </w:rPr>
        <w:t xml:space="preserve"> bili su planirani u iznosu od 54.354.128,00 kuna, a ostvareni su u iznosu od 43.964.487,68 kuna, dakle za 80,89% od planiranih.</w:t>
      </w:r>
    </w:p>
    <w:p w:rsidR="00BD6122" w:rsidRPr="006B4EF1" w:rsidRDefault="00BD6122" w:rsidP="00BD6122">
      <w:pPr>
        <w:pStyle w:val="Odlomakpopisa"/>
        <w:numPr>
          <w:ilvl w:val="0"/>
          <w:numId w:val="32"/>
        </w:numPr>
        <w:overflowPunct w:val="0"/>
        <w:autoSpaceDE w:val="0"/>
        <w:autoSpaceDN w:val="0"/>
        <w:adjustRightInd w:val="0"/>
        <w:jc w:val="both"/>
        <w:textAlignment w:val="baseline"/>
        <w:rPr>
          <w:rFonts w:ascii="Arial" w:hAnsi="Arial" w:cs="Arial"/>
          <w:b/>
          <w:sz w:val="20"/>
          <w:szCs w:val="20"/>
        </w:rPr>
      </w:pPr>
      <w:r w:rsidRPr="006B4EF1">
        <w:rPr>
          <w:rFonts w:ascii="Arial" w:hAnsi="Arial" w:cs="Arial"/>
          <w:b/>
          <w:sz w:val="20"/>
          <w:szCs w:val="20"/>
        </w:rPr>
        <w:t>Rashodi za zaposlene</w:t>
      </w:r>
    </w:p>
    <w:p w:rsidR="00BD6122" w:rsidRPr="006B4EF1" w:rsidRDefault="00BD6122" w:rsidP="00BD6122">
      <w:pPr>
        <w:jc w:val="both"/>
        <w:rPr>
          <w:rFonts w:ascii="Arial" w:hAnsi="Arial" w:cs="Arial"/>
          <w:sz w:val="20"/>
          <w:szCs w:val="20"/>
        </w:rPr>
      </w:pPr>
      <w:r w:rsidRPr="006B4EF1">
        <w:rPr>
          <w:rFonts w:ascii="Arial" w:hAnsi="Arial" w:cs="Arial"/>
          <w:sz w:val="20"/>
          <w:szCs w:val="20"/>
        </w:rPr>
        <w:t>Rashodi za zaposlene djelatnike Gradske uprave i svih proračunskih korisnika ostvareni su u iznosu od 14.054.549,18 kuna ili 102,98% od planiranog iznosa, a u strukturi ukupnih rashoda sudjeluju sa 22,00%.</w:t>
      </w:r>
    </w:p>
    <w:p w:rsidR="00BD6122" w:rsidRPr="006B4EF1" w:rsidRDefault="00BD6122" w:rsidP="00BD6122">
      <w:pPr>
        <w:jc w:val="both"/>
        <w:rPr>
          <w:rFonts w:ascii="Arial" w:hAnsi="Arial" w:cs="Arial"/>
          <w:color w:val="000000"/>
          <w:sz w:val="20"/>
          <w:szCs w:val="20"/>
          <w:lang w:val="hr-BA" w:eastAsia="hr-BA"/>
        </w:rPr>
      </w:pPr>
      <w:r w:rsidRPr="006B4EF1">
        <w:rPr>
          <w:rFonts w:ascii="Arial" w:hAnsi="Arial" w:cs="Arial"/>
          <w:color w:val="000000"/>
          <w:sz w:val="20"/>
          <w:szCs w:val="20"/>
          <w:lang w:val="hr-BA" w:eastAsia="hr-BA"/>
        </w:rPr>
        <w:t>Rashodi za zaposlene obuhvaćaju plaće, doprinose na plaće i ostale rashode za zaposlene gradske uprave i proračunskih korisnika.</w:t>
      </w:r>
    </w:p>
    <w:p w:rsidR="00BD6122" w:rsidRPr="006B4EF1" w:rsidRDefault="00BD6122" w:rsidP="00BD6122">
      <w:pPr>
        <w:jc w:val="both"/>
        <w:rPr>
          <w:rFonts w:ascii="Arial" w:hAnsi="Arial" w:cs="Arial"/>
          <w:sz w:val="20"/>
          <w:szCs w:val="20"/>
        </w:rPr>
      </w:pPr>
      <w:r w:rsidRPr="006B4EF1">
        <w:rPr>
          <w:rFonts w:ascii="Arial" w:hAnsi="Arial" w:cs="Arial"/>
          <w:sz w:val="20"/>
          <w:szCs w:val="20"/>
        </w:rPr>
        <w:t>Rashodi za zaposlene Gradske uprave izvršeni su u iznosu od 4.428.747,45 kuna i čine 6,90% ukupnih proračunskih rashoda.</w:t>
      </w:r>
    </w:p>
    <w:p w:rsidR="00BD6122" w:rsidRPr="006B4EF1" w:rsidRDefault="00BD6122" w:rsidP="00BD6122">
      <w:pPr>
        <w:jc w:val="both"/>
        <w:rPr>
          <w:rFonts w:ascii="Arial" w:hAnsi="Arial" w:cs="Arial"/>
          <w:sz w:val="20"/>
          <w:szCs w:val="20"/>
        </w:rPr>
      </w:pPr>
      <w:r w:rsidRPr="006B4EF1">
        <w:rPr>
          <w:rFonts w:ascii="Arial" w:hAnsi="Arial" w:cs="Arial"/>
          <w:sz w:val="20"/>
          <w:szCs w:val="20"/>
        </w:rPr>
        <w:t>Za proračunske korisnike, rashodi za zaposlene ostvareni su  u iznosu od 9.625.801,73 kuna i odnose se na djelatnike dječjeg vrtića, ustanova kulture i djelatnike Javne vatrogasne postrojbe, a u ukupnim rashodima sudjeluju sa 15,10%.</w:t>
      </w:r>
    </w:p>
    <w:p w:rsidR="00BD6122" w:rsidRPr="006B4EF1" w:rsidRDefault="00BD6122" w:rsidP="00BD6122">
      <w:pPr>
        <w:pStyle w:val="Odlomakpopisa"/>
        <w:numPr>
          <w:ilvl w:val="0"/>
          <w:numId w:val="32"/>
        </w:numPr>
        <w:overflowPunct w:val="0"/>
        <w:autoSpaceDE w:val="0"/>
        <w:autoSpaceDN w:val="0"/>
        <w:adjustRightInd w:val="0"/>
        <w:jc w:val="both"/>
        <w:textAlignment w:val="baseline"/>
        <w:rPr>
          <w:rFonts w:ascii="Arial" w:hAnsi="Arial" w:cs="Arial"/>
          <w:b/>
          <w:sz w:val="20"/>
          <w:szCs w:val="20"/>
        </w:rPr>
      </w:pPr>
      <w:r w:rsidRPr="006B4EF1">
        <w:rPr>
          <w:rFonts w:ascii="Arial" w:hAnsi="Arial" w:cs="Arial"/>
          <w:b/>
          <w:sz w:val="20"/>
          <w:szCs w:val="20"/>
        </w:rPr>
        <w:t>Materijalni rashodi</w:t>
      </w:r>
    </w:p>
    <w:p w:rsidR="00BD6122" w:rsidRPr="006B4EF1" w:rsidRDefault="00BD6122" w:rsidP="00BD6122">
      <w:pPr>
        <w:pStyle w:val="Default"/>
        <w:jc w:val="both"/>
        <w:rPr>
          <w:sz w:val="20"/>
          <w:szCs w:val="20"/>
        </w:rPr>
      </w:pPr>
      <w:r w:rsidRPr="006B4EF1">
        <w:rPr>
          <w:sz w:val="20"/>
          <w:szCs w:val="20"/>
        </w:rPr>
        <w:t>Materijalni rashodi</w:t>
      </w:r>
      <w:r w:rsidRPr="006B4EF1">
        <w:rPr>
          <w:b/>
          <w:sz w:val="20"/>
          <w:szCs w:val="20"/>
        </w:rPr>
        <w:t xml:space="preserve"> </w:t>
      </w:r>
      <w:r w:rsidRPr="006B4EF1">
        <w:rPr>
          <w:sz w:val="20"/>
          <w:szCs w:val="20"/>
        </w:rPr>
        <w:t xml:space="preserve">ostvareni su u promatranom razdoblju u ukupnom iznosu od 21.324.353,60 kuna ili 82,19% godišnjeg plana, a čine 33,30% ukupnih rashoda poslovanja. Odnose se na </w:t>
      </w:r>
    </w:p>
    <w:p w:rsidR="00BD6122" w:rsidRPr="006B4EF1" w:rsidRDefault="00BD6122" w:rsidP="00BD6122">
      <w:pPr>
        <w:pStyle w:val="Default"/>
        <w:jc w:val="both"/>
        <w:rPr>
          <w:sz w:val="20"/>
          <w:szCs w:val="20"/>
        </w:rPr>
      </w:pPr>
      <w:r w:rsidRPr="006B4EF1">
        <w:rPr>
          <w:sz w:val="20"/>
          <w:szCs w:val="20"/>
        </w:rPr>
        <w:t xml:space="preserve">rashode za izvršavanje programskih aktivnosti i redovno poslovanje gradske uprave i korisnika proračuna. </w:t>
      </w:r>
    </w:p>
    <w:p w:rsidR="00BD6122" w:rsidRPr="006B4EF1" w:rsidRDefault="00BD6122" w:rsidP="00BD6122">
      <w:pPr>
        <w:pStyle w:val="Default"/>
        <w:jc w:val="both"/>
        <w:rPr>
          <w:sz w:val="20"/>
          <w:szCs w:val="20"/>
        </w:rPr>
      </w:pPr>
      <w:r w:rsidRPr="006B4EF1">
        <w:rPr>
          <w:sz w:val="20"/>
          <w:szCs w:val="20"/>
        </w:rPr>
        <w:t>U strukturi ostvarenih materijalnih rashoda u odnosu na plan proračuna, najveći je udio rashoda za materijal i energiju sa 86,74%, ostali nespomenuti rashodi poslovanja s 86,68% udjela, rashodi za naknade troškova zaposlenima sa 80,22%, zatim slijede rashodi za usluge u strukturi materijalnih rashoda sa 79,98% te naknade troškova osobama izvan radnog odnosa sa 13,08% udjela.</w:t>
      </w:r>
    </w:p>
    <w:p w:rsidR="00BD6122" w:rsidRDefault="00BD6122" w:rsidP="00BD6122">
      <w:pPr>
        <w:jc w:val="both"/>
        <w:rPr>
          <w:rFonts w:ascii="Arial" w:hAnsi="Arial" w:cs="Arial"/>
          <w:sz w:val="20"/>
          <w:szCs w:val="20"/>
        </w:rPr>
      </w:pPr>
    </w:p>
    <w:p w:rsidR="00BD6122"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lastRenderedPageBreak/>
        <w:t>Ostvareni materijalni rashodi u 2022. godini odnose se na Grad i sve proračunske korisnike, a utrošeni su na slijedeće skupine rashoda:</w:t>
      </w:r>
    </w:p>
    <w:p w:rsidR="00BD6122" w:rsidRPr="006B4EF1" w:rsidRDefault="00BD6122" w:rsidP="00BD6122">
      <w:pPr>
        <w:pStyle w:val="Odlomakpopisa"/>
        <w:numPr>
          <w:ilvl w:val="0"/>
          <w:numId w:val="33"/>
        </w:numPr>
        <w:jc w:val="both"/>
        <w:rPr>
          <w:rFonts w:ascii="Arial" w:hAnsi="Arial" w:cs="Arial"/>
          <w:sz w:val="20"/>
          <w:szCs w:val="20"/>
        </w:rPr>
      </w:pPr>
      <w:r w:rsidRPr="006B4EF1">
        <w:rPr>
          <w:rFonts w:ascii="Arial" w:hAnsi="Arial" w:cs="Arial"/>
          <w:b/>
          <w:sz w:val="20"/>
          <w:szCs w:val="20"/>
        </w:rPr>
        <w:t xml:space="preserve">Naknade troškova zaposlenima </w:t>
      </w:r>
      <w:r w:rsidRPr="006B4EF1">
        <w:rPr>
          <w:rFonts w:ascii="Arial" w:hAnsi="Arial" w:cs="Arial"/>
          <w:sz w:val="20"/>
          <w:szCs w:val="20"/>
        </w:rPr>
        <w:t xml:space="preserve"> ostvarene su</w:t>
      </w:r>
      <w:r w:rsidRPr="006B4EF1">
        <w:rPr>
          <w:rFonts w:ascii="Arial" w:hAnsi="Arial" w:cs="Arial"/>
          <w:b/>
          <w:sz w:val="20"/>
          <w:szCs w:val="20"/>
        </w:rPr>
        <w:t xml:space="preserve"> </w:t>
      </w:r>
      <w:r w:rsidRPr="006B4EF1">
        <w:rPr>
          <w:rFonts w:ascii="Arial" w:hAnsi="Arial" w:cs="Arial"/>
          <w:sz w:val="20"/>
          <w:szCs w:val="20"/>
        </w:rPr>
        <w:t xml:space="preserve">u iznosu od 484.602,17 kuna ili 80,22% od plana za 2022. godinu. Od toga je za službena putovanja utrošeno 140.781,72 kuna, za naknade za prijevoz 245.011,00 kuna i za stručno usavršavanje zaposlenika 98.809,45 kuna. </w:t>
      </w:r>
    </w:p>
    <w:p w:rsidR="00BD6122" w:rsidRPr="006B4EF1" w:rsidRDefault="00BD6122" w:rsidP="00BD6122">
      <w:pPr>
        <w:pStyle w:val="Odlomakpopisa"/>
        <w:numPr>
          <w:ilvl w:val="0"/>
          <w:numId w:val="33"/>
        </w:numPr>
        <w:ind w:left="714" w:hanging="357"/>
        <w:jc w:val="both"/>
        <w:rPr>
          <w:rFonts w:ascii="Arial" w:hAnsi="Arial" w:cs="Arial"/>
          <w:sz w:val="20"/>
          <w:szCs w:val="20"/>
        </w:rPr>
      </w:pPr>
      <w:r w:rsidRPr="006B4EF1">
        <w:rPr>
          <w:rFonts w:ascii="Arial" w:hAnsi="Arial" w:cs="Arial"/>
          <w:b/>
          <w:sz w:val="20"/>
          <w:szCs w:val="20"/>
        </w:rPr>
        <w:t xml:space="preserve">Rashodi za materijal i energiju </w:t>
      </w:r>
      <w:r w:rsidRPr="006B4EF1">
        <w:rPr>
          <w:rFonts w:ascii="Arial" w:hAnsi="Arial" w:cs="Arial"/>
          <w:sz w:val="20"/>
          <w:szCs w:val="20"/>
        </w:rPr>
        <w:t>ostvareni su u iznosu od 3.299.374,41 kuna odnosno 86,74% godišnjeg plana. Najveći dio odnosi se na rashode za energiju u iznosu od 2.063.805,23 kuna, zatim na materijal i sirovine 526.764,31 kunu, rashode za uredski materijal i ostale materijalne rashode 461.896,16 kuna, na sitni inventar i auto gume utrošeno je 83.834,98 kuna, na materijal i dijelove za tekuće i investicijsko održavanje 81.757,78 kuna te na službenu, radnu i zaštitnu odjeću 81.315,95 kuna.</w:t>
      </w:r>
    </w:p>
    <w:p w:rsidR="00BD6122" w:rsidRPr="006B4EF1" w:rsidRDefault="00BD6122" w:rsidP="00BD6122">
      <w:pPr>
        <w:pStyle w:val="Odlomakpopisa"/>
        <w:numPr>
          <w:ilvl w:val="0"/>
          <w:numId w:val="33"/>
        </w:numPr>
        <w:ind w:left="714" w:hanging="357"/>
        <w:jc w:val="both"/>
        <w:rPr>
          <w:rFonts w:ascii="Arial" w:hAnsi="Arial" w:cs="Arial"/>
          <w:sz w:val="20"/>
          <w:szCs w:val="20"/>
        </w:rPr>
      </w:pPr>
      <w:r w:rsidRPr="006B4EF1">
        <w:rPr>
          <w:rFonts w:ascii="Arial" w:hAnsi="Arial" w:cs="Arial"/>
          <w:b/>
          <w:sz w:val="20"/>
          <w:szCs w:val="20"/>
        </w:rPr>
        <w:t>Rashodi za usluge</w:t>
      </w:r>
      <w:r w:rsidRPr="006B4EF1">
        <w:rPr>
          <w:rFonts w:ascii="Arial" w:hAnsi="Arial" w:cs="Arial"/>
          <w:sz w:val="20"/>
          <w:szCs w:val="20"/>
        </w:rPr>
        <w:t xml:space="preserve"> ostvareni su u iznosu od 13.426.731,89 kuna ili 79,98% od godišnjeg plana, </w:t>
      </w:r>
      <w:r w:rsidRPr="006B4EF1">
        <w:rPr>
          <w:rFonts w:ascii="Arial" w:hAnsi="Arial" w:cs="Arial"/>
          <w:color w:val="000000"/>
          <w:sz w:val="20"/>
          <w:szCs w:val="20"/>
        </w:rPr>
        <w:t xml:space="preserve">a odnose se najvećim dijelom na usluge tekućeg i investicijskog održavanja </w:t>
      </w:r>
      <w:r w:rsidRPr="006B4EF1">
        <w:rPr>
          <w:rFonts w:ascii="Arial" w:hAnsi="Arial" w:cs="Arial"/>
          <w:sz w:val="20"/>
          <w:szCs w:val="20"/>
        </w:rPr>
        <w:t>(za održavanje zelenih površina, javnih površina, kupališta, nerazvrstanih cesta, javne rasvjete, održavanje poslovnog i stambenog prostora i drugo)</w:t>
      </w:r>
      <w:r w:rsidRPr="006B4EF1">
        <w:rPr>
          <w:rFonts w:ascii="Arial" w:hAnsi="Arial" w:cs="Arial"/>
          <w:color w:val="000000"/>
          <w:sz w:val="20"/>
          <w:szCs w:val="20"/>
        </w:rPr>
        <w:t xml:space="preserve"> u iznosu od 4.891.037,03 kuna, ostale usluge vezane za redovno poslovanje i izvršavanje programskih aktivnosti gradske uprave i proračunskih korisnika 3.250.884,34 kune, intelektualne i osobne usluge 2.185.941,09 kuna, komunalne usluge 1.547.458,40 kuna, na računalne usluge 511.012,92 kuna, na zakupnine i najamnine (zakup prijevoznih sredstava, zakup opreme, zakup prostorija za dječji vrtić) 266.695,18 kuna, na usluge telefona pošte i prijevoza 377.038,97 kuna, usluge promidžbe i informiranja 155.895,46 kuna te zdravstvene i veterinarske usluge 61.768,50 kuna. </w:t>
      </w:r>
    </w:p>
    <w:p w:rsidR="00BD6122" w:rsidRPr="006B4EF1" w:rsidRDefault="00BD6122" w:rsidP="00BD6122">
      <w:pPr>
        <w:pStyle w:val="Odlomakpopisa"/>
        <w:numPr>
          <w:ilvl w:val="0"/>
          <w:numId w:val="33"/>
        </w:numPr>
        <w:jc w:val="both"/>
        <w:rPr>
          <w:rFonts w:ascii="Arial" w:hAnsi="Arial" w:cs="Arial"/>
          <w:sz w:val="20"/>
          <w:szCs w:val="20"/>
        </w:rPr>
      </w:pPr>
      <w:r w:rsidRPr="006B4EF1">
        <w:rPr>
          <w:rFonts w:ascii="Arial" w:hAnsi="Arial" w:cs="Arial"/>
          <w:b/>
          <w:sz w:val="20"/>
          <w:szCs w:val="20"/>
        </w:rPr>
        <w:t xml:space="preserve">Naknade troškova osobama izvan radnog odnosa </w:t>
      </w:r>
      <w:r w:rsidRPr="006B4EF1">
        <w:rPr>
          <w:rFonts w:ascii="Arial" w:hAnsi="Arial" w:cs="Arial"/>
          <w:sz w:val="20"/>
          <w:szCs w:val="20"/>
        </w:rPr>
        <w:t>ostvareni su rashodi u iznosu od 3.008,44,00 kuna ili 13,08 % od planiranih za 2022. godinu.</w:t>
      </w:r>
    </w:p>
    <w:p w:rsidR="00BD6122" w:rsidRPr="006B4EF1" w:rsidRDefault="00BD6122" w:rsidP="00BD6122">
      <w:pPr>
        <w:pStyle w:val="Odlomakpopisa"/>
        <w:numPr>
          <w:ilvl w:val="0"/>
          <w:numId w:val="33"/>
        </w:numPr>
        <w:jc w:val="both"/>
        <w:rPr>
          <w:rFonts w:ascii="Arial" w:hAnsi="Arial" w:cs="Arial"/>
          <w:sz w:val="20"/>
          <w:szCs w:val="20"/>
        </w:rPr>
      </w:pPr>
      <w:r w:rsidRPr="006B4EF1">
        <w:rPr>
          <w:rFonts w:ascii="Arial" w:hAnsi="Arial" w:cs="Arial"/>
          <w:b/>
          <w:sz w:val="20"/>
          <w:szCs w:val="20"/>
        </w:rPr>
        <w:t xml:space="preserve">Ostali nespomenuti rashodi poslovanja </w:t>
      </w:r>
      <w:r w:rsidRPr="006B4EF1">
        <w:rPr>
          <w:rFonts w:ascii="Arial" w:hAnsi="Arial" w:cs="Arial"/>
          <w:sz w:val="20"/>
          <w:szCs w:val="20"/>
        </w:rPr>
        <w:t>ostvareni su u iznosu od 4.290.636,69 kuna ili 86,68% od planiranih za 2022. godinu. U tome su rashodi za naknade za rad predstavničkih tijela, povjerenstava i slično ostvareni u iznosu od 188.325,39 kuna, premije osiguranja u iznosu od 274.209,91 kuna, rashodi za reprezentaciju u iznosu od 401.443,76 kuna, razne članarine 441.011,63 kuna, pristojbe i naknade 451.153,34 kuna, troškovi sudskih postupaka 188.642,80 kuna i ostali nespomenuti rashodi poslovanja u iznosu od 2.345.849,86 kuna. Najveći dio ostalih nespomenutih rashoda poslovanja odnosi se na povrat sredstava u Državni proračun Republike Hrvatske za projekt "Društveni kutak" u iznosu od 1.148.082,83 kuna, zatim za za Dan Grada, blagdane i spomendane u iznosu od 463.584,57 kuna (kićenje grada, plakete za nagrađene i dr.), za sufinanciranje cijena usluga Dječjeg vrtića "Bonobo" u iznosu od 232.800,00 kuna, Dječjeg vrtića "Cvit" iz Sv. Filip i Jakova u iznosu od 14.400,00 kuna te Dječjeg vrtića Zlatna lučica Sukošan u iznosu od 8.400,00 kuna, za Hitnu pomoć – dežurstvo tima T1 s vozilom 50.000,00 kuna i drugi u manjim iznosima.</w:t>
      </w:r>
    </w:p>
    <w:p w:rsidR="00BD6122" w:rsidRPr="006B4EF1" w:rsidRDefault="00BD6122" w:rsidP="00BD6122">
      <w:pPr>
        <w:pStyle w:val="Odlomakpopisa"/>
        <w:numPr>
          <w:ilvl w:val="0"/>
          <w:numId w:val="32"/>
        </w:numPr>
        <w:overflowPunct w:val="0"/>
        <w:autoSpaceDE w:val="0"/>
        <w:autoSpaceDN w:val="0"/>
        <w:adjustRightInd w:val="0"/>
        <w:jc w:val="both"/>
        <w:textAlignment w:val="baseline"/>
        <w:rPr>
          <w:rFonts w:ascii="Arial" w:hAnsi="Arial" w:cs="Arial"/>
          <w:sz w:val="20"/>
          <w:szCs w:val="20"/>
        </w:rPr>
      </w:pPr>
      <w:r w:rsidRPr="006B4EF1">
        <w:rPr>
          <w:rFonts w:ascii="Arial" w:hAnsi="Arial" w:cs="Arial"/>
          <w:b/>
          <w:sz w:val="20"/>
          <w:szCs w:val="20"/>
        </w:rPr>
        <w:t>Financijski rashodi</w:t>
      </w:r>
    </w:p>
    <w:p w:rsidR="00BD6122" w:rsidRPr="006B4EF1" w:rsidRDefault="00BD6122" w:rsidP="00BD6122">
      <w:pPr>
        <w:jc w:val="both"/>
        <w:rPr>
          <w:rFonts w:ascii="Arial" w:hAnsi="Arial" w:cs="Arial"/>
          <w:sz w:val="20"/>
          <w:szCs w:val="20"/>
        </w:rPr>
      </w:pPr>
      <w:r w:rsidRPr="006B4EF1">
        <w:rPr>
          <w:rFonts w:ascii="Arial" w:hAnsi="Arial" w:cs="Arial"/>
          <w:sz w:val="20"/>
          <w:szCs w:val="20"/>
        </w:rPr>
        <w:t>Financijski rashodi</w:t>
      </w:r>
      <w:r w:rsidRPr="006B4EF1">
        <w:rPr>
          <w:rFonts w:ascii="Arial" w:hAnsi="Arial" w:cs="Arial"/>
          <w:b/>
          <w:sz w:val="20"/>
          <w:szCs w:val="20"/>
        </w:rPr>
        <w:t xml:space="preserve"> </w:t>
      </w:r>
      <w:r w:rsidRPr="006B4EF1">
        <w:rPr>
          <w:rFonts w:ascii="Arial" w:hAnsi="Arial" w:cs="Arial"/>
          <w:sz w:val="20"/>
          <w:szCs w:val="20"/>
        </w:rPr>
        <w:t>izvršeni su u iznosu od 1.057.898,12 kuna ili 104,65% od plana za 2022. godinu. U strukturi ukupnih rashoda poslovanja ovi rashodi čine 1,70%.</w:t>
      </w:r>
    </w:p>
    <w:p w:rsidR="00BD6122" w:rsidRPr="006B4EF1" w:rsidRDefault="00BD6122" w:rsidP="00BD6122">
      <w:pPr>
        <w:jc w:val="both"/>
        <w:rPr>
          <w:rFonts w:ascii="Arial" w:hAnsi="Arial" w:cs="Arial"/>
          <w:sz w:val="20"/>
          <w:szCs w:val="20"/>
        </w:rPr>
      </w:pPr>
      <w:r w:rsidRPr="006B4EF1">
        <w:rPr>
          <w:rFonts w:ascii="Arial" w:hAnsi="Arial" w:cs="Arial"/>
          <w:sz w:val="20"/>
          <w:szCs w:val="20"/>
        </w:rPr>
        <w:t>Ova skupina rashoda odnosi se na rashode za kamate za primljene kredite i zajmove koji su ostvareni u iznosu od 485.129,00 kuna, rashodi za bankarske usluge i usluge platnog prometa u iznosu od 138.941,75 kuna, rashodi za zatezne kamate 412.959,45 kuna, negativne tečajne razlike u iznosu od 325,09 kuna te ostali nespomenuti financijski rashodi u iznosu od 20.542,83 kuna.</w:t>
      </w:r>
    </w:p>
    <w:p w:rsidR="00BD6122" w:rsidRPr="006B4EF1" w:rsidRDefault="00BD6122" w:rsidP="00BD6122">
      <w:pPr>
        <w:pStyle w:val="Odlomakpopisa"/>
        <w:numPr>
          <w:ilvl w:val="0"/>
          <w:numId w:val="32"/>
        </w:numPr>
        <w:jc w:val="both"/>
        <w:rPr>
          <w:rFonts w:ascii="Arial" w:hAnsi="Arial" w:cs="Arial"/>
          <w:b/>
          <w:sz w:val="20"/>
          <w:szCs w:val="20"/>
        </w:rPr>
      </w:pPr>
      <w:r w:rsidRPr="006B4EF1">
        <w:rPr>
          <w:rFonts w:ascii="Arial" w:hAnsi="Arial" w:cs="Arial"/>
          <w:b/>
          <w:sz w:val="20"/>
          <w:szCs w:val="20"/>
        </w:rPr>
        <w:t>Pomoći dane u inozemstvo i unutar općeg proračuna</w:t>
      </w: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Pomoći dane u inozemstvo i unutar opće države ostvarene su u iznosu od 120.500,00 kuna ili 15,04% od plana za 2022. godinu, a odnose se na tekuće pomoći u iznosu od 40.500,00 kuna i kapitalne pomoći unutar općeg proračuna u iznosu od 80.000,00 kuna. </w:t>
      </w:r>
    </w:p>
    <w:p w:rsidR="00BD6122" w:rsidRPr="006B4EF1" w:rsidRDefault="00BD6122" w:rsidP="00BD6122">
      <w:pPr>
        <w:jc w:val="both"/>
        <w:rPr>
          <w:rFonts w:ascii="Arial" w:hAnsi="Arial" w:cs="Arial"/>
          <w:sz w:val="20"/>
          <w:szCs w:val="20"/>
        </w:rPr>
      </w:pPr>
      <w:r w:rsidRPr="006B4EF1">
        <w:rPr>
          <w:rFonts w:ascii="Arial" w:hAnsi="Arial" w:cs="Arial"/>
          <w:sz w:val="20"/>
          <w:szCs w:val="20"/>
        </w:rPr>
        <w:t>Tekuće pomoći izvršene su u iznosu od 40.500,00 kuna od čega za tekuće pomoći županijskim proračunima potrošeno 34.500,00 a sredstva su doznačena Osnovnoj školi Biograd za organiziranje izborne nastave za talijanski jezik te za organiziranje kazališne predstave te za tekuće pomoći državnom proračunu utrošeno je 6.000,00 kuna, a sredstva su doznačena Državnom hidrometeorološkom zavodu.</w:t>
      </w:r>
    </w:p>
    <w:p w:rsidR="00BD6122" w:rsidRPr="006B4EF1" w:rsidRDefault="00BD6122" w:rsidP="00BD6122">
      <w:pPr>
        <w:jc w:val="both"/>
        <w:rPr>
          <w:rFonts w:ascii="Arial" w:hAnsi="Arial" w:cs="Arial"/>
          <w:sz w:val="20"/>
          <w:szCs w:val="20"/>
        </w:rPr>
      </w:pPr>
      <w:r w:rsidRPr="006B4EF1">
        <w:rPr>
          <w:rFonts w:ascii="Arial" w:hAnsi="Arial" w:cs="Arial"/>
          <w:sz w:val="20"/>
          <w:szCs w:val="20"/>
        </w:rPr>
        <w:t>Kapitalne pomoći unutar općeg proračuna isplaćene su Općini Polača u iznosu od 80.000,00 kuna najvećim dijelom za Plan proširenja odlagališta Jagodnja Gornja Općine Polača.</w:t>
      </w:r>
    </w:p>
    <w:p w:rsidR="00BD6122" w:rsidRPr="006B4EF1" w:rsidRDefault="00BD6122" w:rsidP="00BD6122">
      <w:pPr>
        <w:pStyle w:val="Odlomakpopisa"/>
        <w:numPr>
          <w:ilvl w:val="0"/>
          <w:numId w:val="32"/>
        </w:numPr>
        <w:tabs>
          <w:tab w:val="left" w:pos="1080"/>
        </w:tabs>
        <w:overflowPunct w:val="0"/>
        <w:autoSpaceDE w:val="0"/>
        <w:autoSpaceDN w:val="0"/>
        <w:adjustRightInd w:val="0"/>
        <w:jc w:val="both"/>
        <w:textAlignment w:val="baseline"/>
        <w:rPr>
          <w:rFonts w:ascii="Arial" w:hAnsi="Arial" w:cs="Arial"/>
          <w:b/>
          <w:sz w:val="20"/>
          <w:szCs w:val="20"/>
        </w:rPr>
      </w:pPr>
      <w:r w:rsidRPr="006B4EF1">
        <w:rPr>
          <w:rFonts w:ascii="Arial" w:hAnsi="Arial" w:cs="Arial"/>
          <w:b/>
          <w:sz w:val="20"/>
          <w:szCs w:val="20"/>
        </w:rPr>
        <w:t>Naknade građanima i kućanstvima na temelju osiguranja i druge naknade</w:t>
      </w:r>
    </w:p>
    <w:p w:rsidR="00BD6122" w:rsidRPr="006B4EF1" w:rsidRDefault="00BD6122" w:rsidP="00BD6122">
      <w:pPr>
        <w:jc w:val="both"/>
        <w:rPr>
          <w:rFonts w:ascii="Arial" w:hAnsi="Arial" w:cs="Arial"/>
          <w:sz w:val="20"/>
          <w:szCs w:val="20"/>
        </w:rPr>
      </w:pPr>
      <w:r w:rsidRPr="006B4EF1">
        <w:rPr>
          <w:rFonts w:ascii="Arial" w:hAnsi="Arial" w:cs="Arial"/>
          <w:sz w:val="20"/>
          <w:szCs w:val="20"/>
        </w:rPr>
        <w:t>Naknade građanima i kućanstvima</w:t>
      </w:r>
      <w:r w:rsidRPr="006B4EF1">
        <w:rPr>
          <w:rFonts w:ascii="Arial" w:hAnsi="Arial" w:cs="Arial"/>
          <w:b/>
          <w:sz w:val="20"/>
          <w:szCs w:val="20"/>
        </w:rPr>
        <w:t xml:space="preserve"> </w:t>
      </w:r>
      <w:r w:rsidRPr="006B4EF1">
        <w:rPr>
          <w:rFonts w:ascii="Arial" w:hAnsi="Arial" w:cs="Arial"/>
          <w:sz w:val="20"/>
          <w:szCs w:val="20"/>
        </w:rPr>
        <w:t xml:space="preserve">dodijeljene su iz proračuna u 2022. godinu u ukupnom iznosu 2.240.741,62 kuna ili 62,07% od godišnjeg plana, a u strukturi rashoda poslovanja čine 3,50%. </w:t>
      </w:r>
    </w:p>
    <w:p w:rsidR="00BD6122" w:rsidRPr="006B4EF1" w:rsidRDefault="00BD6122" w:rsidP="00BD6122">
      <w:pPr>
        <w:jc w:val="both"/>
        <w:rPr>
          <w:rFonts w:ascii="Arial" w:hAnsi="Arial" w:cs="Arial"/>
          <w:color w:val="000000"/>
          <w:sz w:val="20"/>
          <w:szCs w:val="20"/>
        </w:rPr>
      </w:pPr>
      <w:r w:rsidRPr="006B4EF1">
        <w:rPr>
          <w:rFonts w:ascii="Arial" w:hAnsi="Arial" w:cs="Arial"/>
          <w:color w:val="000000"/>
          <w:sz w:val="20"/>
          <w:szCs w:val="20"/>
        </w:rPr>
        <w:t>Osim naknada koje se isplaćuju za provedbu Socijalnog programa sukladno Odluci o socijalnoj skrbi, ostatak utrošenih sredstava odnosi se na isplatu stipendija za studente, pomoći za nabavu knjiga za osnovnoškolce, za isplatu novčanih donacija za novorođenu djecu u sklopu populacijske politike Grada Biograda na Moru.</w:t>
      </w:r>
    </w:p>
    <w:p w:rsidR="00BD6122" w:rsidRPr="006B4EF1" w:rsidRDefault="00BD6122" w:rsidP="00BD6122">
      <w:pPr>
        <w:pStyle w:val="Odlomakpopisa"/>
        <w:numPr>
          <w:ilvl w:val="0"/>
          <w:numId w:val="32"/>
        </w:numPr>
        <w:jc w:val="both"/>
        <w:rPr>
          <w:rFonts w:ascii="Arial" w:hAnsi="Arial" w:cs="Arial"/>
          <w:sz w:val="20"/>
          <w:szCs w:val="20"/>
          <w:lang w:val="pl-PL"/>
        </w:rPr>
      </w:pPr>
      <w:r w:rsidRPr="006B4EF1">
        <w:rPr>
          <w:rFonts w:ascii="Arial" w:hAnsi="Arial" w:cs="Arial"/>
          <w:b/>
          <w:sz w:val="20"/>
          <w:szCs w:val="20"/>
        </w:rPr>
        <w:lastRenderedPageBreak/>
        <w:t>Ostali rashodi</w:t>
      </w:r>
    </w:p>
    <w:p w:rsidR="00BD6122" w:rsidRPr="006B4EF1" w:rsidRDefault="00BD6122" w:rsidP="00BD6122">
      <w:pPr>
        <w:jc w:val="both"/>
        <w:rPr>
          <w:rFonts w:ascii="Arial" w:hAnsi="Arial" w:cs="Arial"/>
          <w:sz w:val="20"/>
          <w:szCs w:val="20"/>
          <w:lang w:val="pl-PL"/>
        </w:rPr>
      </w:pPr>
      <w:r w:rsidRPr="006B4EF1">
        <w:rPr>
          <w:rFonts w:ascii="Arial" w:hAnsi="Arial" w:cs="Arial"/>
          <w:sz w:val="20"/>
          <w:szCs w:val="20"/>
        </w:rPr>
        <w:t xml:space="preserve">Ostali rashodi izvršeni su u iznosu od 5.166.445,16 kuna ili 57,52% godišnjeg plana,  </w:t>
      </w:r>
      <w:r w:rsidRPr="006B4EF1">
        <w:rPr>
          <w:rFonts w:ascii="Arial" w:hAnsi="Arial" w:cs="Arial"/>
          <w:sz w:val="20"/>
          <w:szCs w:val="20"/>
          <w:lang w:val="pl-PL"/>
        </w:rPr>
        <w:t>a odnose se na tekuće i kapitalne donacije, kazne, penale i naknade šteta i kapitalne pomoći.</w:t>
      </w:r>
      <w:r w:rsidRPr="006B4EF1">
        <w:rPr>
          <w:rFonts w:ascii="Arial" w:hAnsi="Arial" w:cs="Arial"/>
          <w:color w:val="FF0000"/>
          <w:sz w:val="20"/>
          <w:szCs w:val="20"/>
          <w:lang w:val="pl-PL"/>
        </w:rPr>
        <w:t xml:space="preserve"> </w:t>
      </w:r>
      <w:r w:rsidRPr="006B4EF1">
        <w:rPr>
          <w:rFonts w:ascii="Arial" w:hAnsi="Arial" w:cs="Arial"/>
          <w:sz w:val="20"/>
          <w:szCs w:val="20"/>
          <w:lang w:val="pl-PL"/>
        </w:rPr>
        <w:t>U strukturi ukupnih rashoda poslovanja ova skupina sudjeluje s 8,10%.</w:t>
      </w:r>
    </w:p>
    <w:p w:rsidR="00BD6122" w:rsidRPr="006B4EF1" w:rsidRDefault="00BD6122" w:rsidP="00BD6122">
      <w:pPr>
        <w:jc w:val="both"/>
        <w:rPr>
          <w:rFonts w:ascii="Arial" w:hAnsi="Arial" w:cs="Arial"/>
          <w:sz w:val="20"/>
          <w:szCs w:val="20"/>
        </w:rPr>
      </w:pPr>
      <w:r w:rsidRPr="006B4EF1">
        <w:rPr>
          <w:rFonts w:ascii="Arial" w:hAnsi="Arial" w:cs="Arial"/>
          <w:i/>
          <w:sz w:val="20"/>
          <w:szCs w:val="20"/>
        </w:rPr>
        <w:t>Tekuće donacije</w:t>
      </w:r>
      <w:r w:rsidRPr="006B4EF1">
        <w:rPr>
          <w:rFonts w:ascii="Arial" w:hAnsi="Arial" w:cs="Arial"/>
          <w:sz w:val="20"/>
          <w:szCs w:val="20"/>
        </w:rPr>
        <w:t xml:space="preserve"> ostvarene su u iznosu od 4.589.789,89 kuna ili 76,86% od plana, a odnose se na sredstva za financiranje javnih potreba u športu, javnih potreba u kulturi te za sufinanciranje rada udruga i razvoja civilnog društva. </w:t>
      </w:r>
    </w:p>
    <w:p w:rsidR="00BD6122" w:rsidRPr="006B4EF1" w:rsidRDefault="00BD6122" w:rsidP="00BD6122">
      <w:pPr>
        <w:jc w:val="both"/>
        <w:rPr>
          <w:rFonts w:ascii="Arial" w:hAnsi="Arial" w:cs="Arial"/>
          <w:sz w:val="20"/>
          <w:szCs w:val="20"/>
        </w:rPr>
      </w:pPr>
      <w:r w:rsidRPr="006B4EF1">
        <w:rPr>
          <w:rFonts w:ascii="Arial" w:hAnsi="Arial" w:cs="Arial"/>
          <w:i/>
          <w:sz w:val="20"/>
          <w:szCs w:val="20"/>
        </w:rPr>
        <w:t>Kapitalne donacije</w:t>
      </w:r>
      <w:r w:rsidRPr="006B4EF1">
        <w:rPr>
          <w:rFonts w:ascii="Arial" w:hAnsi="Arial" w:cs="Arial"/>
          <w:sz w:val="20"/>
          <w:szCs w:val="20"/>
        </w:rPr>
        <w:t xml:space="preserve"> ostvarene u iznosu od 560.455,27 kuna ili 22,60% od plana, a odnosi na kapitalne donacije vjerskim zajednicama, odnosno Zadarskoj nadbiskupiji kao pomoć za crkve Sv. Stošije i Sv. Ivan u Biogradu na Moru.</w:t>
      </w:r>
    </w:p>
    <w:p w:rsidR="00BD6122" w:rsidRPr="006B4EF1" w:rsidRDefault="00BD6122" w:rsidP="00BD6122">
      <w:pPr>
        <w:jc w:val="both"/>
        <w:rPr>
          <w:rFonts w:ascii="Arial" w:hAnsi="Arial" w:cs="Arial"/>
          <w:sz w:val="20"/>
          <w:szCs w:val="20"/>
        </w:rPr>
      </w:pPr>
      <w:r w:rsidRPr="006B4EF1">
        <w:rPr>
          <w:rFonts w:ascii="Arial" w:hAnsi="Arial" w:cs="Arial"/>
          <w:b/>
          <w:sz w:val="20"/>
          <w:szCs w:val="20"/>
        </w:rPr>
        <w:t>Rashodi za nabavu nefinancijske imovine</w:t>
      </w:r>
      <w:r w:rsidRPr="006B4EF1">
        <w:rPr>
          <w:rFonts w:ascii="Arial" w:hAnsi="Arial" w:cs="Arial"/>
          <w:sz w:val="20"/>
          <w:szCs w:val="20"/>
        </w:rPr>
        <w:t xml:space="preserve"> planirani su iznosu od 28.290.500,00 kuna, a ostvareni su u iznosu 15.247.462,76 kuna odnosno 53,90% od planiranog.</w:t>
      </w:r>
    </w:p>
    <w:p w:rsidR="00BD6122" w:rsidRPr="006B4EF1" w:rsidRDefault="00BD6122" w:rsidP="00BD6122">
      <w:pPr>
        <w:pStyle w:val="Odlomakpopisa"/>
        <w:numPr>
          <w:ilvl w:val="0"/>
          <w:numId w:val="32"/>
        </w:numPr>
        <w:tabs>
          <w:tab w:val="left" w:pos="1080"/>
        </w:tabs>
        <w:jc w:val="both"/>
        <w:rPr>
          <w:rFonts w:ascii="Arial" w:hAnsi="Arial" w:cs="Arial"/>
          <w:sz w:val="20"/>
          <w:szCs w:val="20"/>
          <w:lang w:val="pl-PL"/>
        </w:rPr>
      </w:pPr>
      <w:r w:rsidRPr="006B4EF1">
        <w:rPr>
          <w:rFonts w:ascii="Arial" w:hAnsi="Arial" w:cs="Arial"/>
          <w:b/>
          <w:sz w:val="20"/>
          <w:szCs w:val="20"/>
          <w:lang w:val="pl-PL"/>
        </w:rPr>
        <w:t>Rashodi za nabavu neproizvedene dugotrajne imovine</w:t>
      </w:r>
      <w:r w:rsidRPr="006B4EF1">
        <w:rPr>
          <w:rFonts w:ascii="Arial" w:hAnsi="Arial" w:cs="Arial"/>
          <w:sz w:val="20"/>
          <w:szCs w:val="20"/>
          <w:lang w:val="pl-PL"/>
        </w:rPr>
        <w:t xml:space="preserve"> ostvareni su u iznosu</w:t>
      </w:r>
      <w:r w:rsidRPr="006B4EF1">
        <w:rPr>
          <w:rFonts w:ascii="Arial" w:hAnsi="Arial" w:cs="Arial"/>
          <w:b/>
          <w:sz w:val="20"/>
          <w:szCs w:val="20"/>
          <w:lang w:val="pl-PL"/>
        </w:rPr>
        <w:t xml:space="preserve"> </w:t>
      </w:r>
      <w:r w:rsidRPr="006B4EF1">
        <w:rPr>
          <w:rFonts w:ascii="Arial" w:hAnsi="Arial" w:cs="Arial"/>
          <w:sz w:val="20"/>
          <w:szCs w:val="20"/>
          <w:lang w:val="pl-PL"/>
        </w:rPr>
        <w:t>od 785.577,22 kuna ili 130,93% od plana za 2022. i odnose se na kupnju zemljišta.</w:t>
      </w:r>
    </w:p>
    <w:p w:rsidR="00BD6122" w:rsidRPr="006B4EF1" w:rsidRDefault="00BD6122" w:rsidP="00BD6122">
      <w:pPr>
        <w:pStyle w:val="Odlomakpopisa"/>
        <w:numPr>
          <w:ilvl w:val="0"/>
          <w:numId w:val="32"/>
        </w:numPr>
        <w:tabs>
          <w:tab w:val="left" w:pos="1080"/>
        </w:tabs>
        <w:jc w:val="both"/>
        <w:rPr>
          <w:rFonts w:ascii="Arial" w:hAnsi="Arial" w:cs="Arial"/>
          <w:sz w:val="20"/>
          <w:szCs w:val="20"/>
          <w:lang w:val="pl-PL"/>
        </w:rPr>
      </w:pPr>
      <w:r w:rsidRPr="006B4EF1">
        <w:rPr>
          <w:rFonts w:ascii="Arial" w:hAnsi="Arial" w:cs="Arial"/>
          <w:b/>
          <w:sz w:val="20"/>
          <w:szCs w:val="20"/>
        </w:rPr>
        <w:t>Rashodi za nabavu proizvedene dugotrajne imovine</w:t>
      </w:r>
      <w:r w:rsidRPr="006B4EF1">
        <w:rPr>
          <w:rFonts w:ascii="Arial" w:hAnsi="Arial" w:cs="Arial"/>
          <w:sz w:val="20"/>
          <w:szCs w:val="20"/>
        </w:rPr>
        <w:t xml:space="preserve"> ostvareni su u iznosu od 14.461.885,54 kuna ili 52,27% od plana za 2022. godinu, a odnose se na sljedeće skupine rashoda: </w:t>
      </w:r>
    </w:p>
    <w:p w:rsidR="00BD6122" w:rsidRPr="006B4EF1" w:rsidRDefault="00BD6122" w:rsidP="00BD6122">
      <w:pPr>
        <w:pStyle w:val="Odlomakpopisa"/>
        <w:tabs>
          <w:tab w:val="left" w:pos="1080"/>
        </w:tabs>
        <w:jc w:val="both"/>
        <w:rPr>
          <w:rFonts w:ascii="Arial" w:hAnsi="Arial" w:cs="Arial"/>
          <w:sz w:val="20"/>
          <w:szCs w:val="20"/>
        </w:rPr>
      </w:pPr>
      <w:r w:rsidRPr="006B4EF1">
        <w:rPr>
          <w:rFonts w:ascii="Arial" w:hAnsi="Arial" w:cs="Arial"/>
          <w:b/>
          <w:sz w:val="20"/>
          <w:szCs w:val="20"/>
        </w:rPr>
        <w:t xml:space="preserve">- </w:t>
      </w:r>
      <w:r w:rsidRPr="006B4EF1">
        <w:rPr>
          <w:rFonts w:ascii="Arial" w:hAnsi="Arial" w:cs="Arial"/>
          <w:b/>
          <w:bCs/>
          <w:i/>
          <w:iCs/>
          <w:sz w:val="20"/>
          <w:szCs w:val="20"/>
        </w:rPr>
        <w:t>Rashodi za građevinske objekte</w:t>
      </w:r>
      <w:r w:rsidRPr="006B4EF1">
        <w:rPr>
          <w:rFonts w:ascii="Arial" w:hAnsi="Arial" w:cs="Arial"/>
          <w:sz w:val="20"/>
          <w:szCs w:val="20"/>
        </w:rPr>
        <w:t xml:space="preserve"> ostvareni su u iznosu od 11.581.687,89 kuna ili 48,85% od plana za 2022. godinu, pri čemu se dijelom odnose na stambeni objekti u programu  POS-a u iznosu 4.539.102,00 kuna, poslovni objekti u iznosu od 1.872.201,98 kuna odnosi se na projekt Biosfera 638.991,01 kuna, opremanje pogona za preradu voća i povrća u Poduzetničkom inkubatoru Biograd u iznosu od  933.110,00 kuna, izgradnju knjižnice 192.491,27 kuna, sanaciju ljetnog kina 18.312,50 kuna te montažna ribarnica 10.000,00 kuna. </w:t>
      </w:r>
    </w:p>
    <w:p w:rsidR="00BD6122" w:rsidRPr="006B4EF1" w:rsidRDefault="00BD6122" w:rsidP="00BD6122">
      <w:pPr>
        <w:pStyle w:val="Odlomakpopisa"/>
        <w:tabs>
          <w:tab w:val="left" w:pos="1080"/>
        </w:tabs>
        <w:jc w:val="both"/>
        <w:rPr>
          <w:rFonts w:ascii="Arial" w:hAnsi="Arial" w:cs="Arial"/>
          <w:sz w:val="20"/>
          <w:szCs w:val="20"/>
        </w:rPr>
      </w:pPr>
      <w:r w:rsidRPr="006B4EF1">
        <w:rPr>
          <w:rFonts w:ascii="Arial" w:hAnsi="Arial" w:cs="Arial"/>
          <w:sz w:val="20"/>
          <w:szCs w:val="20"/>
        </w:rPr>
        <w:t>Ostali građevinski objekti su: rekonstrukcija gradske ribarnice u iznosu od 922.666,94 kuna, rekonstrukcija gradske tržnice u iznosu od 1.395.660,24 kuna, proširenje gradskog groblja 1.162.731,06 kuna, izgradnja zida oko Park šume Soline 782.332,50 kuna, kišni vrt "Bučina" 562.500,00 kuna, uređenje igrališta HNK Primorac 49.898,89 kuna te sanacija zgrade HNK Primorac 57.221.25 kuna.</w:t>
      </w:r>
    </w:p>
    <w:p w:rsidR="00BD6122" w:rsidRPr="006B4EF1" w:rsidRDefault="00BD6122" w:rsidP="00BD6122">
      <w:pPr>
        <w:pStyle w:val="Odlomakpopisa"/>
        <w:tabs>
          <w:tab w:val="left" w:pos="1080"/>
        </w:tabs>
        <w:jc w:val="both"/>
        <w:rPr>
          <w:rFonts w:ascii="Arial" w:hAnsi="Arial" w:cs="Arial"/>
          <w:sz w:val="20"/>
          <w:szCs w:val="20"/>
        </w:rPr>
      </w:pPr>
      <w:r w:rsidRPr="006B4EF1">
        <w:rPr>
          <w:rFonts w:ascii="Arial" w:hAnsi="Arial" w:cs="Arial"/>
          <w:sz w:val="20"/>
          <w:szCs w:val="20"/>
        </w:rPr>
        <w:t xml:space="preserve">- </w:t>
      </w:r>
      <w:r w:rsidRPr="006B4EF1">
        <w:rPr>
          <w:rFonts w:ascii="Arial" w:hAnsi="Arial" w:cs="Arial"/>
          <w:b/>
          <w:bCs/>
          <w:i/>
          <w:iCs/>
          <w:sz w:val="20"/>
          <w:szCs w:val="20"/>
        </w:rPr>
        <w:t>Rashodi za nabavu postrojenja i opreme</w:t>
      </w:r>
      <w:r w:rsidRPr="006B4EF1">
        <w:rPr>
          <w:rFonts w:ascii="Arial" w:hAnsi="Arial" w:cs="Arial"/>
          <w:sz w:val="20"/>
          <w:szCs w:val="20"/>
        </w:rPr>
        <w:t xml:space="preserve"> ostvareni  su u iznosu od 536.552,17 kuna ili 33,36% od plana. Od toga je ostvareno za uredsku opremu i namještaj 64.425,54 kuna, za komunikacijsku opremu 2.500,00 kuna, za opremu za održavanje i zaštitu 7.700,00 kuna te za uređaje, strojeve i opremu za ostale namjene 461.926,63 kuna. </w:t>
      </w:r>
    </w:p>
    <w:p w:rsidR="00BD6122" w:rsidRPr="006B4EF1" w:rsidRDefault="00BD6122" w:rsidP="00BD6122">
      <w:pPr>
        <w:pStyle w:val="Odlomakpopisa"/>
        <w:tabs>
          <w:tab w:val="left" w:pos="1080"/>
        </w:tabs>
        <w:jc w:val="both"/>
        <w:rPr>
          <w:rFonts w:ascii="Arial" w:hAnsi="Arial" w:cs="Arial"/>
          <w:sz w:val="20"/>
          <w:szCs w:val="20"/>
        </w:rPr>
      </w:pPr>
      <w:r w:rsidRPr="006B4EF1">
        <w:rPr>
          <w:rFonts w:ascii="Arial" w:hAnsi="Arial" w:cs="Arial"/>
          <w:sz w:val="20"/>
          <w:szCs w:val="20"/>
        </w:rPr>
        <w:t xml:space="preserve">- </w:t>
      </w:r>
      <w:r w:rsidRPr="006B4EF1">
        <w:rPr>
          <w:rFonts w:ascii="Arial" w:hAnsi="Arial" w:cs="Arial"/>
          <w:b/>
          <w:bCs/>
          <w:i/>
          <w:iCs/>
          <w:sz w:val="20"/>
          <w:szCs w:val="20"/>
        </w:rPr>
        <w:t>Rashodi za knjige, umjetnička djela i ostale izložbene vrijednosti</w:t>
      </w:r>
      <w:r w:rsidRPr="006B4EF1">
        <w:rPr>
          <w:rFonts w:ascii="Arial" w:hAnsi="Arial" w:cs="Arial"/>
          <w:sz w:val="20"/>
          <w:szCs w:val="20"/>
        </w:rPr>
        <w:t xml:space="preserve"> su ostvareni u iznosu od 296.858,33 ili 96,70% od planiranog iznosa za knjige i muzejske izloške te predmete prirodnih rijetkosti.</w:t>
      </w:r>
    </w:p>
    <w:p w:rsidR="00BD6122" w:rsidRPr="006B4EF1" w:rsidRDefault="00BD6122" w:rsidP="00BD6122">
      <w:pPr>
        <w:pStyle w:val="Odlomakpopisa"/>
        <w:tabs>
          <w:tab w:val="left" w:pos="1080"/>
        </w:tabs>
        <w:jc w:val="both"/>
        <w:rPr>
          <w:rFonts w:ascii="Arial" w:hAnsi="Arial" w:cs="Arial"/>
          <w:sz w:val="20"/>
          <w:szCs w:val="20"/>
          <w:lang w:val="pl-PL"/>
        </w:rPr>
      </w:pPr>
      <w:r w:rsidRPr="006B4EF1">
        <w:rPr>
          <w:rFonts w:ascii="Arial" w:hAnsi="Arial" w:cs="Arial"/>
          <w:sz w:val="20"/>
          <w:szCs w:val="20"/>
        </w:rPr>
        <w:t xml:space="preserve">- </w:t>
      </w:r>
      <w:r w:rsidRPr="006B4EF1">
        <w:rPr>
          <w:rFonts w:ascii="Arial" w:hAnsi="Arial" w:cs="Arial"/>
          <w:b/>
          <w:bCs/>
          <w:i/>
          <w:iCs/>
          <w:sz w:val="20"/>
          <w:szCs w:val="20"/>
        </w:rPr>
        <w:t>Rashodi za nematerijalnu proizvedenu imovinu</w:t>
      </w:r>
      <w:r w:rsidRPr="006B4EF1">
        <w:rPr>
          <w:rFonts w:ascii="Arial" w:hAnsi="Arial" w:cs="Arial"/>
          <w:sz w:val="20"/>
          <w:szCs w:val="20"/>
        </w:rPr>
        <w:t xml:space="preserve"> su ostvareni u iznosu od 2.046.787,15 kuna ili 100,33% od plana za 2022. godinu, a pretežito se odnose na dokumente prostornog uređenja te na projektnu dokumentaciju.</w:t>
      </w:r>
    </w:p>
    <w:p w:rsidR="00BD6122" w:rsidRPr="006B4EF1" w:rsidRDefault="00BD6122" w:rsidP="00BD6122">
      <w:pPr>
        <w:jc w:val="both"/>
        <w:rPr>
          <w:rFonts w:ascii="Arial" w:hAnsi="Arial" w:cs="Arial"/>
          <w:b/>
          <w:sz w:val="20"/>
          <w:szCs w:val="20"/>
        </w:rPr>
      </w:pPr>
      <w:r w:rsidRPr="006B4EF1">
        <w:rPr>
          <w:rFonts w:ascii="Arial" w:hAnsi="Arial" w:cs="Arial"/>
          <w:b/>
          <w:sz w:val="20"/>
          <w:szCs w:val="20"/>
        </w:rPr>
        <w:t xml:space="preserve">Izdaci za financijsku imovinu i otplate zajmova  </w:t>
      </w:r>
      <w:r w:rsidRPr="006B4EF1">
        <w:rPr>
          <w:rFonts w:ascii="Arial" w:hAnsi="Arial" w:cs="Arial"/>
          <w:sz w:val="20"/>
          <w:szCs w:val="20"/>
        </w:rPr>
        <w:t>za 2022. godinu</w:t>
      </w:r>
      <w:r w:rsidRPr="006B4EF1">
        <w:rPr>
          <w:rFonts w:ascii="Arial" w:hAnsi="Arial" w:cs="Arial"/>
          <w:b/>
          <w:sz w:val="20"/>
          <w:szCs w:val="20"/>
        </w:rPr>
        <w:t xml:space="preserve"> </w:t>
      </w:r>
      <w:r w:rsidRPr="006B4EF1">
        <w:rPr>
          <w:rFonts w:ascii="Arial" w:hAnsi="Arial" w:cs="Arial"/>
          <w:sz w:val="20"/>
          <w:szCs w:val="20"/>
        </w:rPr>
        <w:t>su planirani u iznosu od 4.863.698,00 kuna ostvareni u iznosu 4.710.640,33 kuna odnosno 96,85% od planiranog. Otplata glavnice primljenih kredita je u iznosu od 4.710.640,33 kuna i to 927.694,45 kuna za reciklažno dvorište, 398.550,79 kuna za uređenje Turističko informativnog centra, 2.816.690,40 kuna za izgradnju Poduzetničkog inkubatora, 327.229,00 kuna za otplatu glavnice po financijskom leasingu te 240.475,69 kuna zajma od državnog proračuna koji se odnosi na odgođena plaćanja poreza za vrijeme pandemije uzrokovane virusom Covid-19.</w:t>
      </w:r>
    </w:p>
    <w:p w:rsidR="00BD6122" w:rsidRPr="006B4EF1" w:rsidRDefault="00BD6122" w:rsidP="00BD6122">
      <w:pPr>
        <w:jc w:val="both"/>
        <w:rPr>
          <w:rFonts w:ascii="Arial" w:hAnsi="Arial" w:cs="Arial"/>
          <w:b/>
          <w:bCs/>
          <w:sz w:val="20"/>
          <w:szCs w:val="20"/>
        </w:rPr>
      </w:pPr>
      <w:r w:rsidRPr="006B4EF1">
        <w:rPr>
          <w:rFonts w:ascii="Arial" w:hAnsi="Arial" w:cs="Arial"/>
          <w:sz w:val="20"/>
          <w:szCs w:val="20"/>
        </w:rPr>
        <w:t xml:space="preserve">Iz prethodno navedenog proizlazi da je u 2022. godini ostvaren </w:t>
      </w:r>
      <w:r w:rsidRPr="006B4EF1">
        <w:rPr>
          <w:rFonts w:ascii="Arial" w:hAnsi="Arial" w:cs="Arial"/>
          <w:b/>
          <w:sz w:val="20"/>
          <w:szCs w:val="20"/>
        </w:rPr>
        <w:t>višak prihoda i primitaka nad rashodima i izdacima u iznosu od 9.840.584,12 kuna</w:t>
      </w:r>
      <w:r w:rsidRPr="006B4EF1">
        <w:rPr>
          <w:rFonts w:ascii="Arial" w:hAnsi="Arial" w:cs="Arial"/>
          <w:sz w:val="20"/>
          <w:szCs w:val="20"/>
        </w:rPr>
        <w:t xml:space="preserve"> kojim će se podmiriti manjak iz prethodnih razdoblja. </w:t>
      </w:r>
    </w:p>
    <w:p w:rsidR="00BD6122" w:rsidRPr="006B4EF1" w:rsidRDefault="00BD6122" w:rsidP="00BD6122">
      <w:pPr>
        <w:jc w:val="both"/>
        <w:rPr>
          <w:rFonts w:ascii="Arial" w:hAnsi="Arial" w:cs="Arial"/>
          <w:sz w:val="20"/>
          <w:szCs w:val="20"/>
        </w:rPr>
      </w:pPr>
      <w:r w:rsidRPr="006B4EF1">
        <w:rPr>
          <w:rFonts w:ascii="Arial" w:hAnsi="Arial" w:cs="Arial"/>
          <w:sz w:val="20"/>
          <w:szCs w:val="20"/>
        </w:rPr>
        <w:t>Rashodi poslovanja analitički su prikazani u okviru Posebnog dijela proračuna.</w:t>
      </w:r>
    </w:p>
    <w:p w:rsidR="00BD6122" w:rsidRPr="006B4EF1" w:rsidRDefault="00BD6122" w:rsidP="00BD6122">
      <w:pPr>
        <w:jc w:val="both"/>
        <w:rPr>
          <w:rFonts w:ascii="Arial" w:hAnsi="Arial" w:cs="Arial"/>
          <w:b/>
          <w:bCs/>
          <w:sz w:val="20"/>
          <w:szCs w:val="20"/>
          <w:u w:val="single"/>
        </w:rPr>
      </w:pPr>
    </w:p>
    <w:p w:rsidR="00BD6122" w:rsidRPr="006B4EF1" w:rsidRDefault="00BD6122" w:rsidP="00BD6122">
      <w:pPr>
        <w:jc w:val="both"/>
        <w:rPr>
          <w:rFonts w:ascii="Arial" w:hAnsi="Arial" w:cs="Arial"/>
          <w:sz w:val="20"/>
          <w:szCs w:val="20"/>
        </w:rPr>
      </w:pPr>
      <w:r w:rsidRPr="006B4EF1">
        <w:rPr>
          <w:rFonts w:ascii="Arial" w:hAnsi="Arial" w:cs="Arial"/>
          <w:b/>
          <w:bCs/>
          <w:sz w:val="20"/>
          <w:szCs w:val="20"/>
          <w:u w:val="single"/>
        </w:rPr>
        <w:t xml:space="preserve">RAČUN FINANCIRANJA </w:t>
      </w:r>
    </w:p>
    <w:p w:rsidR="00BD6122" w:rsidRPr="006B4EF1" w:rsidRDefault="00BD6122" w:rsidP="00BD6122">
      <w:pPr>
        <w:pStyle w:val="Default"/>
        <w:rPr>
          <w:sz w:val="20"/>
          <w:szCs w:val="20"/>
        </w:rPr>
      </w:pPr>
      <w:r w:rsidRPr="006B4EF1">
        <w:rPr>
          <w:sz w:val="20"/>
          <w:szCs w:val="20"/>
        </w:rPr>
        <w:t xml:space="preserve">Račun financiranja daje prikaz primitaka od financijske imovine i zaduživanja i izdataka za financijsku imovinu i otplate zajmova te neto financiranje. </w:t>
      </w:r>
    </w:p>
    <w:p w:rsidR="00BD6122" w:rsidRDefault="00BD6122" w:rsidP="00BD6122">
      <w:pPr>
        <w:jc w:val="both"/>
        <w:rPr>
          <w:rFonts w:ascii="Arial" w:hAnsi="Arial" w:cs="Arial"/>
          <w:b/>
          <w:bCs/>
          <w:sz w:val="20"/>
          <w:szCs w:val="20"/>
        </w:rPr>
      </w:pPr>
    </w:p>
    <w:p w:rsidR="00BD6122" w:rsidRPr="006B4EF1" w:rsidRDefault="00BD6122" w:rsidP="00BD6122">
      <w:pPr>
        <w:jc w:val="both"/>
        <w:rPr>
          <w:rFonts w:ascii="Arial" w:hAnsi="Arial" w:cs="Arial"/>
          <w:b/>
          <w:bCs/>
          <w:sz w:val="20"/>
          <w:szCs w:val="20"/>
        </w:rPr>
      </w:pPr>
      <w:r w:rsidRPr="006B4EF1">
        <w:rPr>
          <w:rFonts w:ascii="Arial" w:hAnsi="Arial" w:cs="Arial"/>
          <w:b/>
          <w:bCs/>
          <w:sz w:val="20"/>
          <w:szCs w:val="20"/>
        </w:rPr>
        <w:t xml:space="preserve">Izdaci za financijsku imovinu i otplate zajmova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se dugoročno zadužio u 2018. i 2019. godini u iznosu od 5.138.000,00 kuna kod Erste&amp;Steiermarkische bank d.d., isplata u dvije rate - 3.000.000,00 u 2018. godini, - 2.138.000,00 u 2019. godini. Rok otplate bio je 36 mjeseci te je zadnja rata dospijela 01. travnja 2022. godine. Na dan 31. prosinca 2022. stanje duga po kreditu kod Erste&amp;Steiermarkische bank d.d. iznosi 0,00 kuna, a  u 2022. godini ukupno je otplaćeno 927.694,45 kuna glavnice po navedenom kreditu.</w:t>
      </w:r>
    </w:p>
    <w:p w:rsidR="00BD6122" w:rsidRPr="006B4EF1" w:rsidRDefault="00BD6122" w:rsidP="00BD6122">
      <w:pPr>
        <w:pStyle w:val="Bezproreda"/>
        <w:jc w:val="both"/>
        <w:rPr>
          <w:rFonts w:ascii="Arial" w:hAnsi="Arial" w:cs="Arial"/>
          <w:sz w:val="20"/>
          <w:szCs w:val="20"/>
        </w:rPr>
      </w:pP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lastRenderedPageBreak/>
        <w:t xml:space="preserve">Grad Biograd se dugoročno zadužio u 2019. godine kod Zagrebačke banke d.d. za financiranje izgradnje Poduzetničkog inkubatora (33.000.000,00 kuna). S obzirom da su se sredstva koristila iz kredita po privremenim situacijama, stanje iskorištenog kredita za Poduzetnički inkubator na dan 31. prosinca 2020. godine iznosilo je 28.166.903,29 kuna te ono predstavlja konačan iznos glavnice kredita.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Otplata kredita za izgradnju poduzetničkog inkubatora počela je 31. siječnja 2021. godine.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Na dan 31. prosinca 2022. godine stanje duga po kreditu kod Zagrebačke banke d.d. za izgradnju Poduzetničkog inkubatora  iznosilo je 22.768.246,69, a ukupno je otplaćeno 5.398.656,60 kuna.</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se također dugoročno zadužio u 2019. godine kod Zagrebačke banke d.d. za financiranje uređenja Turističkog informativnog centra (2.500.000,00 kuna). Sredstva iz kredita su se koristila po privremenim situacijama te je stanje na dan 31. prosinca 2020. godine iznosilo  2.427.536,22 kuna te ono predstavlja konačan iznos glavnice.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 xml:space="preserve">Na dan 31. prosinca 2022. godine stanje duga po kreditu kod Zagrebačke banke za uređenje Turističkog informativnog centra iznosilo je 1.557.970,86 kuna, a ukupno je otplaćeno 869.565,36 kuna.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je dao suglasnost za zaduživanje proračunskom korisniku Javnoj vatrogasnoj postrojbi Grada Biograda na Moru za zaduživanje – financijski leasing za nabavu vatrogasnog vozila. Iznos leasinga je 2.050.000,00 kuna koji će se vratiti u roku od 5 godina. Uplaćeno je učešće u iznosu od 410.000,00 kuna. Ukupno je otplaćeno 1.322.528,84 kuna leasinga te stanje na dan 31. prosinca 2022. godine iznosi 727.471,16 kuna.</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je odlukama o reprogramu duga u 2022. godini izdao kratkoročne vrijednosne papire - mjenice za obveze prema dobavljačima: Lavčević d.o.o. u iznosu od 537.119,38 kuna, Obrt Golemi u iznosu od 1.932.338,25 kuna, Bošana d.o.o. u iznosu od 3.354.618,26 kuna koje su indosirane na Partner banku d.d. te će se platiti tijekom 2023. godine</w:t>
      </w:r>
    </w:p>
    <w:p w:rsidR="00BD6122" w:rsidRPr="006B4EF1" w:rsidRDefault="00BD6122" w:rsidP="00BD6122">
      <w:pPr>
        <w:pStyle w:val="Default"/>
        <w:tabs>
          <w:tab w:val="left" w:pos="1080"/>
        </w:tabs>
        <w:jc w:val="both"/>
        <w:rPr>
          <w:sz w:val="20"/>
          <w:szCs w:val="20"/>
        </w:rPr>
      </w:pPr>
    </w:p>
    <w:tbl>
      <w:tblPr>
        <w:tblStyle w:val="Reetkatablice"/>
        <w:tblW w:w="0" w:type="auto"/>
        <w:tblInd w:w="0" w:type="dxa"/>
        <w:tblLook w:val="04A0" w:firstRow="1" w:lastRow="0" w:firstColumn="1" w:lastColumn="0" w:noHBand="0" w:noVBand="1"/>
      </w:tblPr>
      <w:tblGrid>
        <w:gridCol w:w="8930"/>
      </w:tblGrid>
      <w:tr w:rsidR="00BD6122" w:rsidRPr="006B4EF1" w:rsidTr="00FA4A65">
        <w:trPr>
          <w:trHeight w:val="273"/>
        </w:trPr>
        <w:tc>
          <w:tcPr>
            <w:tcW w:w="8930" w:type="dxa"/>
          </w:tcPr>
          <w:p w:rsidR="00BD6122" w:rsidRPr="006B4EF1" w:rsidRDefault="00BD6122" w:rsidP="00BD6122">
            <w:pPr>
              <w:pStyle w:val="Odlomakpopisa"/>
              <w:numPr>
                <w:ilvl w:val="0"/>
                <w:numId w:val="34"/>
              </w:numPr>
              <w:jc w:val="both"/>
              <w:rPr>
                <w:rFonts w:ascii="Arial" w:hAnsi="Arial" w:cs="Arial"/>
                <w:sz w:val="20"/>
                <w:szCs w:val="20"/>
              </w:rPr>
            </w:pPr>
            <w:r w:rsidRPr="006B4EF1">
              <w:rPr>
                <w:rFonts w:ascii="Arial" w:hAnsi="Arial" w:cs="Arial"/>
                <w:b/>
                <w:sz w:val="20"/>
                <w:szCs w:val="20"/>
              </w:rPr>
              <w:t>POSEBNI DIO PRORAČUNA</w:t>
            </w:r>
            <w:r w:rsidRPr="006B4EF1">
              <w:rPr>
                <w:rFonts w:ascii="Arial" w:hAnsi="Arial" w:cs="Arial"/>
                <w:sz w:val="20"/>
                <w:szCs w:val="20"/>
              </w:rPr>
              <w:t xml:space="preserve"> (Prilog 7 i 8)</w:t>
            </w:r>
          </w:p>
        </w:tc>
      </w:tr>
    </w:tbl>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Posebni dio proračuna, u Godišnjem izvještaju o izvršenju proračuna za 2022. godinu iskazuje rashode u 2022. godini, a prezentira se u dva izvještaja:</w:t>
      </w:r>
    </w:p>
    <w:p w:rsidR="00BD6122" w:rsidRPr="006B4EF1" w:rsidRDefault="00BD6122" w:rsidP="00BD6122">
      <w:pPr>
        <w:pStyle w:val="Odlomakpopisa"/>
        <w:numPr>
          <w:ilvl w:val="0"/>
          <w:numId w:val="25"/>
        </w:numPr>
        <w:jc w:val="both"/>
        <w:rPr>
          <w:rFonts w:ascii="Arial" w:hAnsi="Arial" w:cs="Arial"/>
          <w:sz w:val="20"/>
          <w:szCs w:val="20"/>
        </w:rPr>
      </w:pPr>
      <w:r w:rsidRPr="006B4EF1">
        <w:rPr>
          <w:rFonts w:ascii="Arial" w:hAnsi="Arial" w:cs="Arial"/>
          <w:sz w:val="20"/>
          <w:szCs w:val="20"/>
        </w:rPr>
        <w:t>Posebni dio proračuna po organizacijskoj klasifikaciji (Prilog 7)</w:t>
      </w:r>
    </w:p>
    <w:p w:rsidR="00BD6122" w:rsidRPr="006B4EF1" w:rsidRDefault="00BD6122" w:rsidP="00BD6122">
      <w:pPr>
        <w:pStyle w:val="Odlomakpopisa"/>
        <w:numPr>
          <w:ilvl w:val="0"/>
          <w:numId w:val="25"/>
        </w:numPr>
        <w:jc w:val="both"/>
        <w:rPr>
          <w:rFonts w:ascii="Arial" w:hAnsi="Arial" w:cs="Arial"/>
          <w:sz w:val="20"/>
          <w:szCs w:val="20"/>
        </w:rPr>
      </w:pPr>
      <w:r w:rsidRPr="006B4EF1">
        <w:rPr>
          <w:rFonts w:ascii="Arial" w:hAnsi="Arial" w:cs="Arial"/>
          <w:sz w:val="20"/>
          <w:szCs w:val="20"/>
        </w:rPr>
        <w:t>Posebni dio proračuna po programskoj klasifikaciji (Prilog 8).</w:t>
      </w:r>
    </w:p>
    <w:p w:rsidR="00BD6122" w:rsidRPr="006B4EF1" w:rsidRDefault="00BD6122" w:rsidP="00BD6122">
      <w:pPr>
        <w:jc w:val="both"/>
        <w:rPr>
          <w:rFonts w:ascii="Arial" w:hAnsi="Arial" w:cs="Arial"/>
          <w:sz w:val="20"/>
          <w:szCs w:val="20"/>
        </w:rPr>
      </w:pPr>
      <w:r w:rsidRPr="006B4EF1">
        <w:rPr>
          <w:rFonts w:ascii="Arial" w:hAnsi="Arial" w:cs="Arial"/>
          <w:b/>
          <w:sz w:val="20"/>
          <w:szCs w:val="20"/>
          <w:u w:val="single"/>
        </w:rPr>
        <w:t>Posebni dio proračuna po organizacijskoj klasifikaciji</w:t>
      </w:r>
      <w:r w:rsidRPr="006B4EF1">
        <w:rPr>
          <w:rFonts w:ascii="Arial" w:hAnsi="Arial" w:cs="Arial"/>
          <w:sz w:val="20"/>
          <w:szCs w:val="20"/>
        </w:rPr>
        <w:t xml:space="preserve"> (Prilog 7)</w:t>
      </w:r>
    </w:p>
    <w:p w:rsidR="00BD6122" w:rsidRPr="006B4EF1" w:rsidRDefault="00BD6122" w:rsidP="00BD6122">
      <w:pPr>
        <w:jc w:val="both"/>
        <w:rPr>
          <w:rFonts w:ascii="Arial" w:hAnsi="Arial" w:cs="Arial"/>
          <w:sz w:val="20"/>
          <w:szCs w:val="20"/>
        </w:rPr>
      </w:pPr>
      <w:r w:rsidRPr="006B4EF1">
        <w:rPr>
          <w:rFonts w:ascii="Arial" w:hAnsi="Arial" w:cs="Arial"/>
          <w:sz w:val="20"/>
          <w:szCs w:val="20"/>
        </w:rPr>
        <w:t>U posebnom dijelu proračuna iskazanom po organizacijskoj klasifikaciji evidentirani su rashodi po organizacijskim jedinicama (razdjelima) i proračunskim korisnicima (glavama).</w:t>
      </w:r>
    </w:p>
    <w:p w:rsidR="00BD6122" w:rsidRPr="006B4EF1" w:rsidRDefault="00BD6122" w:rsidP="00BD6122">
      <w:pPr>
        <w:jc w:val="both"/>
        <w:rPr>
          <w:rFonts w:ascii="Arial" w:hAnsi="Arial" w:cs="Arial"/>
          <w:sz w:val="20"/>
          <w:szCs w:val="20"/>
        </w:rPr>
      </w:pPr>
      <w:r w:rsidRPr="006B4EF1">
        <w:rPr>
          <w:rFonts w:ascii="Arial" w:hAnsi="Arial" w:cs="Arial"/>
          <w:sz w:val="20"/>
          <w:szCs w:val="20"/>
        </w:rPr>
        <w:t>Iz navedene tablice vidljivo je ostvarenje rashoda (doznačena sredstva) po razdjelima i glavama, čije je ostvarenje ovisilo o ostvarenju prihoda. Organizacijski dijelovi uglavnom su realizirali glavne programe djelovanja u 2022. godini.</w:t>
      </w:r>
    </w:p>
    <w:p w:rsidR="00BD6122" w:rsidRPr="006B4EF1" w:rsidRDefault="00BD6122" w:rsidP="00BD6122">
      <w:pPr>
        <w:jc w:val="both"/>
        <w:rPr>
          <w:rFonts w:ascii="Arial" w:hAnsi="Arial" w:cs="Arial"/>
          <w:sz w:val="20"/>
          <w:szCs w:val="20"/>
        </w:rPr>
      </w:pPr>
      <w:r w:rsidRPr="006B4EF1">
        <w:rPr>
          <w:rFonts w:ascii="Arial" w:hAnsi="Arial" w:cs="Arial"/>
          <w:sz w:val="20"/>
          <w:szCs w:val="20"/>
        </w:rPr>
        <w:t>Rashodi po organizacijskim dijelovima (korisnicima proračuna) uglavnom su u okviru planiranog (od 80,00 do 100,00%) u odnosu na ukupno planirana sredstva za 2021. godinu.</w:t>
      </w:r>
    </w:p>
    <w:p w:rsidR="00BD6122" w:rsidRPr="006B4EF1" w:rsidRDefault="00BD6122" w:rsidP="00BD6122">
      <w:pPr>
        <w:jc w:val="both"/>
        <w:rPr>
          <w:rFonts w:ascii="Arial" w:hAnsi="Arial" w:cs="Arial"/>
          <w:sz w:val="20"/>
          <w:szCs w:val="20"/>
        </w:rPr>
      </w:pPr>
      <w:r w:rsidRPr="006B4EF1">
        <w:rPr>
          <w:rFonts w:ascii="Arial" w:hAnsi="Arial" w:cs="Arial"/>
          <w:b/>
          <w:sz w:val="20"/>
          <w:szCs w:val="20"/>
          <w:u w:val="single"/>
        </w:rPr>
        <w:t>Posebni dio proračuna po programskoj klasifikaciji</w:t>
      </w:r>
      <w:r w:rsidRPr="006B4EF1">
        <w:rPr>
          <w:rFonts w:ascii="Arial" w:hAnsi="Arial" w:cs="Arial"/>
          <w:sz w:val="20"/>
          <w:szCs w:val="20"/>
        </w:rPr>
        <w:t xml:space="preserve"> (Prilog 8)</w:t>
      </w:r>
    </w:p>
    <w:p w:rsidR="00BD6122" w:rsidRPr="006B4EF1" w:rsidRDefault="00BD6122" w:rsidP="00BD6122">
      <w:pPr>
        <w:pStyle w:val="Default"/>
        <w:jc w:val="both"/>
        <w:rPr>
          <w:sz w:val="20"/>
          <w:szCs w:val="20"/>
        </w:rPr>
      </w:pPr>
      <w:r w:rsidRPr="006B4EF1">
        <w:rPr>
          <w:sz w:val="20"/>
          <w:szCs w:val="20"/>
        </w:rPr>
        <w:t xml:space="preserve">Izvještaj o izvršenju po </w:t>
      </w:r>
      <w:r w:rsidRPr="006B4EF1">
        <w:rPr>
          <w:b/>
          <w:bCs/>
          <w:sz w:val="20"/>
          <w:szCs w:val="20"/>
        </w:rPr>
        <w:t xml:space="preserve">programskoj klasifikaciji </w:t>
      </w:r>
      <w:r w:rsidRPr="006B4EF1">
        <w:rPr>
          <w:sz w:val="20"/>
          <w:szCs w:val="20"/>
        </w:rPr>
        <w:t xml:space="preserve">daje detaljan pregled ostvarenja proračuna po razdjelima, programima, aktivnostima i projektima, s naglaskom na programe, aktivnosti i projekte i to po računima ekonomske klasifikacije na razini podskupine (plan) i podskupine i odjeljka (izvršenje), te indeks izvršenja u odnosu na plan na razini podskupine. </w:t>
      </w:r>
    </w:p>
    <w:p w:rsidR="00BD6122" w:rsidRPr="006B4EF1" w:rsidRDefault="00BD6122" w:rsidP="00BD6122">
      <w:pPr>
        <w:jc w:val="both"/>
        <w:rPr>
          <w:rFonts w:ascii="Arial" w:hAnsi="Arial" w:cs="Arial"/>
          <w:sz w:val="20"/>
          <w:szCs w:val="20"/>
        </w:rPr>
      </w:pPr>
      <w:r w:rsidRPr="006B4EF1">
        <w:rPr>
          <w:rFonts w:ascii="Arial" w:hAnsi="Arial" w:cs="Arial"/>
          <w:sz w:val="20"/>
          <w:szCs w:val="20"/>
        </w:rPr>
        <w:t>Za izvršenje rashoda definirani su programi, a  pojedini programi izvršavani su kroz više razdjela.</w:t>
      </w:r>
    </w:p>
    <w:p w:rsidR="00BD6122" w:rsidRPr="006B4EF1" w:rsidRDefault="00BD6122" w:rsidP="00BD6122">
      <w:pPr>
        <w:jc w:val="both"/>
        <w:rPr>
          <w:rFonts w:ascii="Arial" w:hAnsi="Arial" w:cs="Arial"/>
          <w:sz w:val="20"/>
          <w:szCs w:val="20"/>
        </w:rPr>
      </w:pPr>
      <w:r w:rsidRPr="006B4EF1">
        <w:rPr>
          <w:rFonts w:ascii="Arial" w:hAnsi="Arial" w:cs="Arial"/>
          <w:sz w:val="20"/>
          <w:szCs w:val="20"/>
        </w:rPr>
        <w:t>Rashodi ostvareni u 2022. godini bili su određeni visinom i namjenom ostvarenih prihoda.</w:t>
      </w:r>
    </w:p>
    <w:p w:rsidR="00BD6122" w:rsidRPr="006B4EF1" w:rsidRDefault="00BD6122" w:rsidP="00BD6122">
      <w:pPr>
        <w:jc w:val="both"/>
        <w:rPr>
          <w:rFonts w:ascii="Arial" w:hAnsi="Arial" w:cs="Arial"/>
          <w:sz w:val="20"/>
          <w:szCs w:val="20"/>
        </w:rPr>
      </w:pPr>
    </w:p>
    <w:tbl>
      <w:tblPr>
        <w:tblStyle w:val="Reetkatablice"/>
        <w:tblW w:w="0" w:type="auto"/>
        <w:tblInd w:w="0" w:type="dxa"/>
        <w:tblLook w:val="04A0" w:firstRow="1" w:lastRow="0" w:firstColumn="1" w:lastColumn="0" w:noHBand="0" w:noVBand="1"/>
      </w:tblPr>
      <w:tblGrid>
        <w:gridCol w:w="9061"/>
      </w:tblGrid>
      <w:tr w:rsidR="00BD6122" w:rsidRPr="006B4EF1" w:rsidTr="00FA4A65">
        <w:tc>
          <w:tcPr>
            <w:tcW w:w="9288" w:type="dxa"/>
          </w:tcPr>
          <w:p w:rsidR="00BD6122" w:rsidRPr="006B4EF1" w:rsidRDefault="00BD6122" w:rsidP="00BD6122">
            <w:pPr>
              <w:pStyle w:val="Odlomakpopisa"/>
              <w:numPr>
                <w:ilvl w:val="0"/>
                <w:numId w:val="34"/>
              </w:numPr>
              <w:jc w:val="both"/>
              <w:rPr>
                <w:rFonts w:ascii="Arial" w:hAnsi="Arial" w:cs="Arial"/>
                <w:sz w:val="20"/>
                <w:szCs w:val="20"/>
              </w:rPr>
            </w:pPr>
            <w:r w:rsidRPr="006B4EF1">
              <w:rPr>
                <w:rFonts w:ascii="Arial" w:hAnsi="Arial" w:cs="Arial"/>
                <w:b/>
                <w:sz w:val="20"/>
                <w:szCs w:val="20"/>
              </w:rPr>
              <w:t>Izvještaj o zaduživanju na domaćem i stranom tržištu novca i kapitala</w:t>
            </w:r>
            <w:r w:rsidRPr="006B4EF1">
              <w:rPr>
                <w:rFonts w:ascii="Arial" w:hAnsi="Arial" w:cs="Arial"/>
                <w:sz w:val="20"/>
                <w:szCs w:val="20"/>
              </w:rPr>
              <w:t xml:space="preserve"> (Prilog 9)</w:t>
            </w:r>
          </w:p>
        </w:tc>
      </w:tr>
    </w:tbl>
    <w:p w:rsidR="00BD6122" w:rsidRPr="006B4EF1" w:rsidRDefault="00BD6122" w:rsidP="00BD6122">
      <w:pPr>
        <w:pStyle w:val="Bezproreda"/>
        <w:jc w:val="both"/>
        <w:rPr>
          <w:rFonts w:ascii="Arial" w:hAnsi="Arial" w:cs="Arial"/>
          <w:b/>
          <w:sz w:val="20"/>
          <w:szCs w:val="20"/>
          <w:u w:val="single"/>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Zaduživanje jedinice lokalne i područne (regionalne) samouprave, kao i izdavanje jamstava i suglasnosti pravnim osobama u većinskom izravnom ili neizravnom vlasništvu jedinice lokalne i područne (regionalne) samouprave i ustanovama čiji je osnivač, regulirano je Zakonom o proračunu (Narodne novine, broj 144/21.).</w:t>
      </w:r>
    </w:p>
    <w:p w:rsidR="00BD6122" w:rsidRPr="006B4EF1" w:rsidRDefault="00BD6122" w:rsidP="00BD6122">
      <w:pPr>
        <w:jc w:val="both"/>
        <w:rPr>
          <w:rFonts w:ascii="Arial" w:hAnsi="Arial" w:cs="Arial"/>
          <w:sz w:val="20"/>
          <w:szCs w:val="20"/>
        </w:rPr>
      </w:pPr>
      <w:r w:rsidRPr="006B4EF1">
        <w:rPr>
          <w:rFonts w:ascii="Arial" w:hAnsi="Arial" w:cs="Arial"/>
          <w:sz w:val="20"/>
          <w:szCs w:val="20"/>
        </w:rPr>
        <w:t>Jedinica lokalne i područne (regionalne) samouprave se prema članku 119. Zakona o proračunu (Narodne novine, broj 144/21.) može kratkoročno zaduživati isključivo za premošćivanje jaza nastalog zbog različite dinamike priljeva sredstava i dospijeća obveza. Kratkoročno zaduženje može trajati najduže do 12 mjeseci bez mogućnosti daljnjeg reprograma ili zatvaranja postojećih obveza po kratkoročnim kreditima ili zajmovima uzimanjem novih kratkoročnih kredita ili zajmova.</w:t>
      </w:r>
    </w:p>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lastRenderedPageBreak/>
        <w:t>Jedinice lokalne i područne (regionalne) samouprave mogu se dugoročno zaduživati:</w:t>
      </w:r>
    </w:p>
    <w:p w:rsidR="00BD6122" w:rsidRPr="006B4EF1" w:rsidRDefault="00BD6122" w:rsidP="00BD6122">
      <w:pPr>
        <w:pStyle w:val="Odlomakpopisa"/>
        <w:numPr>
          <w:ilvl w:val="0"/>
          <w:numId w:val="19"/>
        </w:numPr>
        <w:jc w:val="both"/>
        <w:rPr>
          <w:rFonts w:ascii="Arial" w:hAnsi="Arial" w:cs="Arial"/>
          <w:sz w:val="20"/>
          <w:szCs w:val="20"/>
        </w:rPr>
      </w:pPr>
      <w:r w:rsidRPr="006B4EF1">
        <w:rPr>
          <w:rFonts w:ascii="Arial" w:hAnsi="Arial" w:cs="Arial"/>
          <w:sz w:val="20"/>
          <w:szCs w:val="20"/>
        </w:rPr>
        <w:t>za investiciju koja se financira iz njezina proračuna;</w:t>
      </w:r>
    </w:p>
    <w:p w:rsidR="00BD6122" w:rsidRPr="006B4EF1" w:rsidRDefault="00BD6122" w:rsidP="00BD6122">
      <w:pPr>
        <w:pStyle w:val="Odlomakpopisa"/>
        <w:numPr>
          <w:ilvl w:val="0"/>
          <w:numId w:val="19"/>
        </w:numPr>
        <w:jc w:val="both"/>
        <w:rPr>
          <w:rFonts w:ascii="Arial" w:hAnsi="Arial" w:cs="Arial"/>
          <w:sz w:val="20"/>
          <w:szCs w:val="20"/>
        </w:rPr>
      </w:pPr>
      <w:r w:rsidRPr="006B4EF1">
        <w:rPr>
          <w:rFonts w:ascii="Arial" w:hAnsi="Arial" w:cs="Arial"/>
          <w:sz w:val="20"/>
          <w:szCs w:val="20"/>
        </w:rPr>
        <w:t>za kapitalne pomoći trgovačkim društvima i drugim pravnim osobama u većinskom vlasništvu ili suvlasništvu jedinica lokalne i područne (regionalne) samouprave radi realizacije investicije koja se sufinancira iz fondova Europske unije i za investicije odnosno projekte čija je realizacija utvrđena posebnim propisima;</w:t>
      </w:r>
    </w:p>
    <w:p w:rsidR="00BD6122" w:rsidRPr="006B4EF1" w:rsidRDefault="00BD6122" w:rsidP="00BD6122">
      <w:pPr>
        <w:pStyle w:val="Odlomakpopisa"/>
        <w:numPr>
          <w:ilvl w:val="0"/>
          <w:numId w:val="19"/>
        </w:numPr>
        <w:jc w:val="both"/>
        <w:rPr>
          <w:rFonts w:ascii="Arial" w:hAnsi="Arial" w:cs="Arial"/>
          <w:sz w:val="20"/>
          <w:szCs w:val="20"/>
        </w:rPr>
      </w:pPr>
      <w:r w:rsidRPr="006B4EF1">
        <w:rPr>
          <w:rFonts w:ascii="Arial" w:hAnsi="Arial" w:cs="Arial"/>
          <w:sz w:val="20"/>
          <w:szCs w:val="20"/>
        </w:rPr>
        <w:t>za financiranje obveza na ime povrata neprihvatljivih troškova koji su bili sufinancirani iz fondova Europske unije.</w:t>
      </w: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Zakonom o proračunu ograničena je visina zaduživanja tako da ukupna godišnja obveza za otplatu kredita i zajmova (godišnji anuitet) jedinice lokalne i područne (regionalne) samouprave smije iznositi najviše 20% ostvarenih izvornih  prihoda u godini koja prethodi zaduživanju. Pod ostvarenim proračunskim prihodima podrazumijevaju se ostvareni prihodi jedinice lokalne i područne (regionalne) samouprave umanjeni za prihode od od pomoći iz inozemstva i od subjekata unutar općeg proračuna te donacija i s osnove dodatnih udjela u porezu na dohodak za financiranje decentraliziranih funkcija. </w:t>
      </w:r>
    </w:p>
    <w:p w:rsidR="00BD6122" w:rsidRPr="006B4EF1" w:rsidRDefault="00BD6122" w:rsidP="00BD6122">
      <w:pPr>
        <w:pStyle w:val="Bezproreda"/>
        <w:jc w:val="both"/>
        <w:rPr>
          <w:rFonts w:ascii="Arial" w:hAnsi="Arial" w:cs="Arial"/>
          <w:b/>
          <w:sz w:val="20"/>
          <w:szCs w:val="20"/>
          <w:u w:val="single"/>
        </w:rPr>
      </w:pPr>
      <w:r w:rsidRPr="006B4EF1">
        <w:rPr>
          <w:rFonts w:ascii="Arial" w:hAnsi="Arial" w:cs="Arial"/>
          <w:b/>
          <w:sz w:val="20"/>
          <w:szCs w:val="20"/>
          <w:u w:val="single"/>
        </w:rPr>
        <w:t>Dugoročno zaduživanje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se nije dugoročno zaduživao u 2022. godini.</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 xml:space="preserve">Dugoročno zaduženje Grada Biograda na Moru je bilo kod Erste&amp;Steiermarkische bank d.d. i dalje aktualno kod Zagrebačke banke d.d.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se dugoročno zadužio u 2018. i 2019. godini u iznosu od 5.138.000,00 kuna kod Erste&amp;Steiermarkische bank d.d., isplata u dvije rate - 3.000.000,00 u 2018. godini, - 2.138.000,00 u 2019. godini. Rok otplate bio je 36 mjeseci te je zadnja rata dospijela 01. travnja 2022. godine. Na dan 31. prosinca 2022. stanje duga po kreditu kod Erste&amp;Steiermarkische bank d.d. iznosi 0,00 kuna, a  u 2022. godini ukupno je otplaćeno 927.694,45 kuna glavnice po navedenom kreditu.</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se dugoročno zadužio u 2019. godine kod Zagrebačke banke d.d. za financiranje izgradnje Poduzetničkog inkubatora (33.000.000,00 kuna). Rok otplate kredita za izgradnju poduzetničkog inkubatora je najkasnije do 31. prosinca 2030. godine (rok otplate je 120 mjeseci).</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 xml:space="preserve">S obzirom da su se sredstva koristila iz kredita po privremenim situacijama, stanje iskorištenog kredita za Poduzetnički inkubator na dan 31. prosinca 2020. godine iznosilo je 28.166.903,29 kuna te ono predstavlja konačan iznos glavnice kredita.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Otplata kredita za izgradnju poduzetničkog inkubatora počela je 31. siječnja 2021. godine.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Na dan 31. prosinca 2022. godine stanje duga po kreditu kod Zagrebačke banke d.d. za izgradnju Poduzetničkog inkubatora  iznosilo je 22.768.246,69, a ukupno je otplaćeno 5.398.656,60 kuna.</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 xml:space="preserve">Grad Biograd se također dugoročno zadužio u 2019. godine kod Zagrebačke banke d.d. za financiranje uređenja Turističkog informativnog centra (2.500.000,00 kuna). Rok otplate kredita za financiranje uređenja Turističko informativnog centra je najkasnije do 30. lipnja 2026. godine (rok otplate je 72 mjeseca).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Sredstva iz kredita su se koristila po privremenim situacijama te je stanje na dan 31. prosinca 2020. godine iznosilo  2.427.536,22 kuna te ono predstavlja konačan iznos glavnice.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 xml:space="preserve">Na dan 31. prosinca 2022. godine stanje duga po kreditu kod Zagrebačke banke za uređenje Turističkog informativnog centra iznosilo je 1.557.970,86 kuna, a ukupno je otplaćeno 869.565,36 kuna. </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Stanje duga prema dugoročnom kreditnom zaduženju na dan 31. prosinca 2022. godine je iznosilo 24.326.217,55 kuna.</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je dao suglasnost za zaduživanje proračunskom korisniku Javnoj vatrogasnoj postrojbi Grada Biograda na Moru za zaduživanje – financijski leasing za nabavu vatrogasnog vozila. Iznos leasinga je 2.050.000,00 kuna koji će se vratiti u roku od 5 godina. Uplaćeno je učešće u iznosu od 410.000,00 kuna. Ukupno je otplaćeno 1.322.528,84 kuna leasinga te stanje na dan 31. prosinca 2022. godine iznosi 727.471,16 kuna.</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i proračunski korisnici imaju dug prema dugoročnom kreditnom zaduženju na dan 31. prosinca 2022. godine u iznosu od 25.053.688,71 kuna.</w:t>
      </w:r>
    </w:p>
    <w:p w:rsidR="00BD6122" w:rsidRPr="006B4EF1" w:rsidRDefault="00BD6122" w:rsidP="00BD6122">
      <w:pPr>
        <w:pStyle w:val="Bezproreda"/>
        <w:jc w:val="both"/>
        <w:rPr>
          <w:rFonts w:ascii="Arial" w:hAnsi="Arial" w:cs="Arial"/>
          <w:b/>
          <w:sz w:val="20"/>
          <w:szCs w:val="20"/>
          <w:u w:val="single"/>
        </w:rPr>
      </w:pPr>
      <w:r w:rsidRPr="006B4EF1">
        <w:rPr>
          <w:rFonts w:ascii="Arial" w:hAnsi="Arial" w:cs="Arial"/>
          <w:b/>
          <w:sz w:val="20"/>
          <w:szCs w:val="20"/>
          <w:u w:val="single"/>
        </w:rPr>
        <w:t>Kratkoročno zaduživanje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se u 2022. godini kratkoročno zadužio u vidu prekoračenja po računu kod OTP banke, za premošćivanje jaza nastalog zbog različite dinamike priljeva sredstava i dospijeća obveza, i to u iznosu do 1.000.000,00 kuna, s rokom vraćanja do 01. prosinca 2022. godine, uz uobičajene kamate i naknadu poslovne banke.</w:t>
      </w: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Grad Biograd na Moru se kratkoročno zadužio kod Partner banke d.d. u iznosu od 4.300.000,00 kuna, a sredstva su bila namijenjena za premošćivanje jaza nastalog zbog različite dinamike priljeva i dospijeća obveza. U 2022. godini je otplaćeno 500.000,00 kuna te je stanje kratkoročnog zaduženja na dan 31. prosinca 2022. godine bilo 3.800.000,00 kuna. Dospijeće glavnice po ovom zaduženju je do 01. ožujka 2023. godine</w:t>
      </w:r>
    </w:p>
    <w:p w:rsidR="00BD6122" w:rsidRPr="006B4EF1" w:rsidRDefault="00BD6122" w:rsidP="00BD6122">
      <w:pPr>
        <w:pStyle w:val="Bezproreda"/>
        <w:jc w:val="both"/>
        <w:rPr>
          <w:rFonts w:ascii="Arial" w:hAnsi="Arial" w:cs="Arial"/>
          <w:sz w:val="20"/>
          <w:szCs w:val="20"/>
        </w:rPr>
      </w:pPr>
    </w:p>
    <w:tbl>
      <w:tblPr>
        <w:tblStyle w:val="Reetkatablice"/>
        <w:tblW w:w="0" w:type="auto"/>
        <w:tblInd w:w="0" w:type="dxa"/>
        <w:tblLook w:val="04A0" w:firstRow="1" w:lastRow="0" w:firstColumn="1" w:lastColumn="0" w:noHBand="0" w:noVBand="1"/>
      </w:tblPr>
      <w:tblGrid>
        <w:gridCol w:w="9061"/>
      </w:tblGrid>
      <w:tr w:rsidR="00BD6122" w:rsidRPr="006B4EF1" w:rsidTr="00BD6122">
        <w:tc>
          <w:tcPr>
            <w:tcW w:w="9061" w:type="dxa"/>
          </w:tcPr>
          <w:p w:rsidR="00BD6122" w:rsidRPr="006B4EF1" w:rsidRDefault="00BD6122" w:rsidP="00BD6122">
            <w:pPr>
              <w:pStyle w:val="Bezproreda"/>
              <w:numPr>
                <w:ilvl w:val="0"/>
                <w:numId w:val="34"/>
              </w:numPr>
              <w:jc w:val="both"/>
              <w:rPr>
                <w:rFonts w:ascii="Arial" w:hAnsi="Arial" w:cs="Arial"/>
                <w:sz w:val="20"/>
                <w:szCs w:val="20"/>
              </w:rPr>
            </w:pPr>
            <w:r w:rsidRPr="006B4EF1">
              <w:rPr>
                <w:rFonts w:ascii="Arial" w:hAnsi="Arial" w:cs="Arial"/>
                <w:b/>
                <w:sz w:val="20"/>
                <w:szCs w:val="20"/>
              </w:rPr>
              <w:lastRenderedPageBreak/>
              <w:t>Izvještaj o korištenju proračunske zalihe</w:t>
            </w:r>
            <w:r w:rsidRPr="006B4EF1">
              <w:rPr>
                <w:rFonts w:ascii="Arial" w:hAnsi="Arial" w:cs="Arial"/>
                <w:sz w:val="20"/>
                <w:szCs w:val="20"/>
              </w:rPr>
              <w:t xml:space="preserve"> (Prilog 10)</w:t>
            </w:r>
          </w:p>
        </w:tc>
      </w:tr>
    </w:tbl>
    <w:p w:rsidR="00BD6122" w:rsidRPr="006B4EF1" w:rsidRDefault="00BD6122" w:rsidP="00BD6122">
      <w:pPr>
        <w:pStyle w:val="Bezproreda"/>
        <w:jc w:val="both"/>
        <w:rPr>
          <w:rFonts w:ascii="Arial" w:hAnsi="Arial" w:cs="Arial"/>
          <w:sz w:val="20"/>
          <w:szCs w:val="20"/>
        </w:rPr>
      </w:pPr>
    </w:p>
    <w:p w:rsidR="00BD6122" w:rsidRPr="006B4EF1" w:rsidRDefault="00BD6122" w:rsidP="00BD6122">
      <w:pPr>
        <w:pStyle w:val="Bezproreda"/>
        <w:jc w:val="both"/>
        <w:rPr>
          <w:rFonts w:ascii="Arial" w:hAnsi="Arial" w:cs="Arial"/>
          <w:sz w:val="20"/>
          <w:szCs w:val="20"/>
        </w:rPr>
      </w:pPr>
      <w:r w:rsidRPr="006B4EF1">
        <w:rPr>
          <w:rFonts w:ascii="Arial" w:hAnsi="Arial" w:cs="Arial"/>
          <w:sz w:val="20"/>
          <w:szCs w:val="20"/>
        </w:rPr>
        <w:t xml:space="preserve">Proračunska zaliha u 2022. godini nije se koristila. </w:t>
      </w:r>
    </w:p>
    <w:p w:rsidR="00BD6122" w:rsidRPr="006B4EF1" w:rsidRDefault="00BD6122" w:rsidP="00BD6122">
      <w:pPr>
        <w:jc w:val="both"/>
        <w:rPr>
          <w:rFonts w:ascii="Arial" w:hAnsi="Arial" w:cs="Arial"/>
          <w:sz w:val="20"/>
          <w:szCs w:val="20"/>
        </w:rPr>
      </w:pPr>
    </w:p>
    <w:tbl>
      <w:tblPr>
        <w:tblStyle w:val="Reetkatablice"/>
        <w:tblW w:w="0" w:type="auto"/>
        <w:tblInd w:w="0" w:type="dxa"/>
        <w:tblLook w:val="04A0" w:firstRow="1" w:lastRow="0" w:firstColumn="1" w:lastColumn="0" w:noHBand="0" w:noVBand="1"/>
      </w:tblPr>
      <w:tblGrid>
        <w:gridCol w:w="9061"/>
      </w:tblGrid>
      <w:tr w:rsidR="00BD6122" w:rsidRPr="006B4EF1" w:rsidTr="00FA4A65">
        <w:tc>
          <w:tcPr>
            <w:tcW w:w="9288" w:type="dxa"/>
          </w:tcPr>
          <w:p w:rsidR="00BD6122" w:rsidRPr="006B4EF1" w:rsidRDefault="00BD6122" w:rsidP="00BD6122">
            <w:pPr>
              <w:pStyle w:val="Odlomakpopisa"/>
              <w:numPr>
                <w:ilvl w:val="0"/>
                <w:numId w:val="34"/>
              </w:numPr>
              <w:jc w:val="both"/>
              <w:rPr>
                <w:rFonts w:ascii="Arial" w:hAnsi="Arial" w:cs="Arial"/>
                <w:sz w:val="20"/>
                <w:szCs w:val="20"/>
              </w:rPr>
            </w:pPr>
            <w:r w:rsidRPr="006B4EF1">
              <w:rPr>
                <w:rFonts w:ascii="Arial" w:hAnsi="Arial" w:cs="Arial"/>
                <w:b/>
                <w:sz w:val="20"/>
                <w:szCs w:val="20"/>
              </w:rPr>
              <w:t>Izvještaj o danim jamstvima i izdacima po jamstvima</w:t>
            </w:r>
            <w:r w:rsidRPr="006B4EF1">
              <w:rPr>
                <w:rFonts w:ascii="Arial" w:hAnsi="Arial" w:cs="Arial"/>
                <w:sz w:val="20"/>
                <w:szCs w:val="20"/>
              </w:rPr>
              <w:t xml:space="preserve"> (Prilog 11)</w:t>
            </w:r>
          </w:p>
        </w:tc>
      </w:tr>
    </w:tbl>
    <w:p w:rsidR="00BD6122" w:rsidRPr="006B4EF1" w:rsidRDefault="00BD6122" w:rsidP="00BD6122">
      <w:pPr>
        <w:jc w:val="both"/>
        <w:rPr>
          <w:rFonts w:ascii="Arial" w:hAnsi="Arial" w:cs="Arial"/>
          <w:sz w:val="20"/>
          <w:szCs w:val="20"/>
        </w:rPr>
      </w:pPr>
    </w:p>
    <w:p w:rsidR="00BD6122" w:rsidRPr="006B4EF1" w:rsidRDefault="00BD6122" w:rsidP="00BD6122">
      <w:pPr>
        <w:rPr>
          <w:rFonts w:ascii="Arial" w:hAnsi="Arial" w:cs="Arial"/>
          <w:sz w:val="20"/>
          <w:szCs w:val="20"/>
        </w:rPr>
      </w:pPr>
      <w:r w:rsidRPr="006B4EF1">
        <w:rPr>
          <w:rFonts w:ascii="Arial" w:hAnsi="Arial" w:cs="Arial"/>
          <w:sz w:val="20"/>
          <w:szCs w:val="20"/>
        </w:rPr>
        <w:t>Grad Biograd na Moru u 2022. godini nije imao danih jamstava.</w:t>
      </w:r>
    </w:p>
    <w:p w:rsidR="00BD6122" w:rsidRPr="006B4EF1" w:rsidRDefault="00BD6122" w:rsidP="00BD6122">
      <w:pPr>
        <w:rPr>
          <w:rFonts w:ascii="Arial" w:hAnsi="Arial" w:cs="Arial"/>
          <w:sz w:val="20"/>
          <w:szCs w:val="20"/>
        </w:rPr>
      </w:pPr>
    </w:p>
    <w:tbl>
      <w:tblPr>
        <w:tblStyle w:val="Reetkatablice"/>
        <w:tblW w:w="0" w:type="auto"/>
        <w:tblInd w:w="0" w:type="dxa"/>
        <w:tblLook w:val="04A0" w:firstRow="1" w:lastRow="0" w:firstColumn="1" w:lastColumn="0" w:noHBand="0" w:noVBand="1"/>
      </w:tblPr>
      <w:tblGrid>
        <w:gridCol w:w="9061"/>
      </w:tblGrid>
      <w:tr w:rsidR="00BD6122" w:rsidRPr="006B4EF1" w:rsidTr="00FA4A65">
        <w:tc>
          <w:tcPr>
            <w:tcW w:w="9062" w:type="dxa"/>
          </w:tcPr>
          <w:p w:rsidR="00BD6122" w:rsidRPr="00BD6122" w:rsidRDefault="00BD6122" w:rsidP="00BD6122">
            <w:pPr>
              <w:pStyle w:val="Bezproreda"/>
              <w:numPr>
                <w:ilvl w:val="0"/>
                <w:numId w:val="35"/>
              </w:numPr>
              <w:rPr>
                <w:rFonts w:ascii="Arial" w:hAnsi="Arial" w:cs="Arial"/>
                <w:b/>
                <w:sz w:val="20"/>
                <w:szCs w:val="20"/>
              </w:rPr>
            </w:pPr>
            <w:r w:rsidRPr="006B4EF1">
              <w:rPr>
                <w:rFonts w:ascii="Arial" w:hAnsi="Arial" w:cs="Arial"/>
                <w:b/>
                <w:sz w:val="20"/>
                <w:szCs w:val="20"/>
              </w:rPr>
              <w:t xml:space="preserve">Stanje nenaplaćenih potraživanja za prihode, nepodmirenih dospjelih obveza i stanje potencijalnih obveza po osnovi sudskih postupaka Grada Biograda na Moru </w:t>
            </w:r>
            <w:r w:rsidRPr="006B4EF1">
              <w:rPr>
                <w:rFonts w:ascii="Arial" w:hAnsi="Arial" w:cs="Arial"/>
                <w:sz w:val="20"/>
                <w:szCs w:val="20"/>
              </w:rPr>
              <w:t>(Prilog 12)</w:t>
            </w:r>
          </w:p>
        </w:tc>
      </w:tr>
    </w:tbl>
    <w:p w:rsidR="00BD6122" w:rsidRPr="006B4EF1" w:rsidRDefault="00BD6122" w:rsidP="00BD6122">
      <w:pPr>
        <w:jc w:val="both"/>
        <w:rPr>
          <w:rFonts w:ascii="Arial" w:hAnsi="Arial" w:cs="Arial"/>
          <w:sz w:val="20"/>
          <w:szCs w:val="20"/>
        </w:rPr>
      </w:pPr>
    </w:p>
    <w:p w:rsidR="00BD6122" w:rsidRDefault="00BD6122" w:rsidP="00BD6122">
      <w:pPr>
        <w:pStyle w:val="Odlomakpopisa"/>
        <w:numPr>
          <w:ilvl w:val="0"/>
          <w:numId w:val="20"/>
        </w:numPr>
        <w:jc w:val="both"/>
        <w:rPr>
          <w:rFonts w:ascii="Arial" w:hAnsi="Arial" w:cs="Arial"/>
          <w:sz w:val="20"/>
          <w:szCs w:val="20"/>
        </w:rPr>
      </w:pPr>
      <w:r w:rsidRPr="006B4EF1">
        <w:rPr>
          <w:rFonts w:ascii="Arial" w:hAnsi="Arial" w:cs="Arial"/>
          <w:sz w:val="20"/>
          <w:szCs w:val="20"/>
        </w:rPr>
        <w:t>Stanje nenaplaćenih potraživanja za prihode Grada Biograda na Moru i njegovih proračunskih korisnika na dan 31. prosinca 2022. godine u ukupnom iznosu je 27.380.821,55 kuna.</w:t>
      </w:r>
    </w:p>
    <w:p w:rsidR="00BD6122" w:rsidRPr="006B4EF1" w:rsidRDefault="00BD6122" w:rsidP="00BD6122">
      <w:pPr>
        <w:pStyle w:val="Odlomakpopisa"/>
        <w:jc w:val="both"/>
        <w:rPr>
          <w:rFonts w:ascii="Arial" w:hAnsi="Arial" w:cs="Arial"/>
          <w:sz w:val="20"/>
          <w:szCs w:val="20"/>
        </w:rPr>
      </w:pPr>
    </w:p>
    <w:tbl>
      <w:tblPr>
        <w:tblStyle w:val="Reetkatablice"/>
        <w:tblW w:w="0" w:type="auto"/>
        <w:jc w:val="center"/>
        <w:tblInd w:w="0" w:type="dxa"/>
        <w:tblLook w:val="04A0" w:firstRow="1" w:lastRow="0" w:firstColumn="1" w:lastColumn="0" w:noHBand="0" w:noVBand="1"/>
      </w:tblPr>
      <w:tblGrid>
        <w:gridCol w:w="4528"/>
        <w:gridCol w:w="3972"/>
      </w:tblGrid>
      <w:tr w:rsidR="00BD6122" w:rsidRPr="006B4EF1" w:rsidTr="00FA4A65">
        <w:trPr>
          <w:jc w:val="center"/>
        </w:trPr>
        <w:tc>
          <w:tcPr>
            <w:tcW w:w="4528" w:type="dxa"/>
            <w:tcBorders>
              <w:top w:val="single" w:sz="4" w:space="0" w:color="auto"/>
              <w:left w:val="single" w:sz="4" w:space="0" w:color="auto"/>
              <w:bottom w:val="nil"/>
              <w:right w:val="nil"/>
            </w:tcBorders>
          </w:tcPr>
          <w:p w:rsidR="00BD6122" w:rsidRPr="006B4EF1" w:rsidRDefault="00BD6122" w:rsidP="00FA4A65">
            <w:pPr>
              <w:jc w:val="both"/>
              <w:rPr>
                <w:rFonts w:ascii="Arial" w:hAnsi="Arial" w:cs="Arial"/>
                <w:sz w:val="20"/>
                <w:szCs w:val="20"/>
              </w:rPr>
            </w:pPr>
            <w:r w:rsidRPr="006B4EF1">
              <w:rPr>
                <w:rFonts w:ascii="Arial" w:hAnsi="Arial" w:cs="Arial"/>
                <w:sz w:val="20"/>
                <w:szCs w:val="20"/>
              </w:rPr>
              <w:t>Potraživanja za prihode poslovanja</w:t>
            </w:r>
          </w:p>
        </w:tc>
        <w:tc>
          <w:tcPr>
            <w:tcW w:w="3972" w:type="dxa"/>
            <w:tcBorders>
              <w:top w:val="single" w:sz="4" w:space="0" w:color="auto"/>
              <w:left w:val="nil"/>
              <w:bottom w:val="nil"/>
              <w:right w:val="single" w:sz="4" w:space="0" w:color="auto"/>
            </w:tcBorders>
          </w:tcPr>
          <w:p w:rsidR="00BD6122" w:rsidRPr="006B4EF1" w:rsidRDefault="00BD6122" w:rsidP="00FA4A65">
            <w:pPr>
              <w:jc w:val="right"/>
              <w:rPr>
                <w:rFonts w:ascii="Arial" w:hAnsi="Arial" w:cs="Arial"/>
                <w:sz w:val="20"/>
                <w:szCs w:val="20"/>
              </w:rPr>
            </w:pPr>
            <w:r w:rsidRPr="006B4EF1">
              <w:rPr>
                <w:rFonts w:ascii="Arial" w:hAnsi="Arial" w:cs="Arial"/>
                <w:sz w:val="20"/>
                <w:szCs w:val="20"/>
              </w:rPr>
              <w:t>8.544.107,53 kn</w:t>
            </w:r>
          </w:p>
        </w:tc>
      </w:tr>
      <w:tr w:rsidR="00BD6122" w:rsidRPr="006B4EF1" w:rsidTr="00FA4A65">
        <w:trPr>
          <w:jc w:val="center"/>
        </w:trPr>
        <w:tc>
          <w:tcPr>
            <w:tcW w:w="4528" w:type="dxa"/>
            <w:tcBorders>
              <w:top w:val="nil"/>
              <w:left w:val="single" w:sz="4" w:space="0" w:color="auto"/>
              <w:bottom w:val="nil"/>
              <w:right w:val="nil"/>
            </w:tcBorders>
          </w:tcPr>
          <w:p w:rsidR="00BD6122" w:rsidRPr="006B4EF1" w:rsidRDefault="00BD6122" w:rsidP="00FA4A65">
            <w:pPr>
              <w:jc w:val="both"/>
              <w:rPr>
                <w:rFonts w:ascii="Arial" w:hAnsi="Arial" w:cs="Arial"/>
                <w:sz w:val="20"/>
                <w:szCs w:val="20"/>
              </w:rPr>
            </w:pPr>
            <w:r w:rsidRPr="006B4EF1">
              <w:rPr>
                <w:rFonts w:ascii="Arial" w:hAnsi="Arial" w:cs="Arial"/>
                <w:sz w:val="20"/>
                <w:szCs w:val="20"/>
              </w:rPr>
              <w:t>Ispravak vrijednosti potraživanja</w:t>
            </w:r>
          </w:p>
        </w:tc>
        <w:tc>
          <w:tcPr>
            <w:tcW w:w="3972" w:type="dxa"/>
            <w:tcBorders>
              <w:top w:val="nil"/>
              <w:left w:val="nil"/>
              <w:bottom w:val="nil"/>
              <w:right w:val="single" w:sz="4" w:space="0" w:color="auto"/>
            </w:tcBorders>
          </w:tcPr>
          <w:p w:rsidR="00BD6122" w:rsidRPr="006B4EF1" w:rsidRDefault="00BD6122" w:rsidP="00FA4A65">
            <w:pPr>
              <w:jc w:val="right"/>
              <w:rPr>
                <w:rFonts w:ascii="Arial" w:hAnsi="Arial" w:cs="Arial"/>
                <w:sz w:val="20"/>
                <w:szCs w:val="20"/>
              </w:rPr>
            </w:pPr>
            <w:r w:rsidRPr="006B4EF1">
              <w:rPr>
                <w:rFonts w:ascii="Arial" w:hAnsi="Arial" w:cs="Arial"/>
                <w:sz w:val="20"/>
                <w:szCs w:val="20"/>
              </w:rPr>
              <w:t>18.015.700,50 kn</w:t>
            </w:r>
          </w:p>
        </w:tc>
      </w:tr>
      <w:tr w:rsidR="00BD6122" w:rsidRPr="006B4EF1" w:rsidTr="00FA4A65">
        <w:trPr>
          <w:jc w:val="center"/>
        </w:trPr>
        <w:tc>
          <w:tcPr>
            <w:tcW w:w="4528" w:type="dxa"/>
            <w:tcBorders>
              <w:top w:val="nil"/>
              <w:left w:val="single" w:sz="4" w:space="0" w:color="auto"/>
              <w:bottom w:val="single" w:sz="4" w:space="0" w:color="auto"/>
              <w:right w:val="nil"/>
            </w:tcBorders>
          </w:tcPr>
          <w:p w:rsidR="00BD6122" w:rsidRPr="006B4EF1" w:rsidRDefault="00BD6122" w:rsidP="00FA4A65">
            <w:pPr>
              <w:jc w:val="both"/>
              <w:rPr>
                <w:rFonts w:ascii="Arial" w:hAnsi="Arial" w:cs="Arial"/>
                <w:sz w:val="20"/>
                <w:szCs w:val="20"/>
              </w:rPr>
            </w:pPr>
            <w:r w:rsidRPr="006B4EF1">
              <w:rPr>
                <w:rFonts w:ascii="Arial" w:hAnsi="Arial" w:cs="Arial"/>
                <w:sz w:val="20"/>
                <w:szCs w:val="20"/>
              </w:rPr>
              <w:t>Potraživanja od prodaje nefinancijske imovine</w:t>
            </w:r>
          </w:p>
        </w:tc>
        <w:tc>
          <w:tcPr>
            <w:tcW w:w="3972" w:type="dxa"/>
            <w:tcBorders>
              <w:top w:val="nil"/>
              <w:left w:val="nil"/>
              <w:bottom w:val="single" w:sz="4" w:space="0" w:color="auto"/>
              <w:right w:val="single" w:sz="4" w:space="0" w:color="auto"/>
            </w:tcBorders>
          </w:tcPr>
          <w:p w:rsidR="00BD6122" w:rsidRPr="006B4EF1" w:rsidRDefault="00BD6122" w:rsidP="00FA4A65">
            <w:pPr>
              <w:jc w:val="right"/>
              <w:rPr>
                <w:rFonts w:ascii="Arial" w:hAnsi="Arial" w:cs="Arial"/>
                <w:sz w:val="20"/>
                <w:szCs w:val="20"/>
              </w:rPr>
            </w:pPr>
            <w:r w:rsidRPr="006B4EF1">
              <w:rPr>
                <w:rFonts w:ascii="Arial" w:hAnsi="Arial" w:cs="Arial"/>
                <w:sz w:val="20"/>
                <w:szCs w:val="20"/>
              </w:rPr>
              <w:t>821.013,52 kn</w:t>
            </w:r>
          </w:p>
        </w:tc>
      </w:tr>
      <w:tr w:rsidR="00BD6122" w:rsidRPr="006B4EF1" w:rsidTr="00FA4A65">
        <w:trPr>
          <w:jc w:val="center"/>
        </w:trPr>
        <w:tc>
          <w:tcPr>
            <w:tcW w:w="4528" w:type="dxa"/>
            <w:tcBorders>
              <w:top w:val="single" w:sz="4" w:space="0" w:color="auto"/>
              <w:left w:val="single" w:sz="4" w:space="0" w:color="auto"/>
              <w:bottom w:val="single" w:sz="4" w:space="0" w:color="auto"/>
              <w:right w:val="nil"/>
            </w:tcBorders>
          </w:tcPr>
          <w:p w:rsidR="00BD6122" w:rsidRPr="006B4EF1" w:rsidRDefault="00BD6122" w:rsidP="00FA4A65">
            <w:pPr>
              <w:jc w:val="both"/>
              <w:rPr>
                <w:rFonts w:ascii="Arial" w:hAnsi="Arial" w:cs="Arial"/>
                <w:sz w:val="20"/>
                <w:szCs w:val="20"/>
              </w:rPr>
            </w:pPr>
            <w:r w:rsidRPr="006B4EF1">
              <w:rPr>
                <w:rFonts w:ascii="Arial" w:hAnsi="Arial" w:cs="Arial"/>
                <w:sz w:val="20"/>
                <w:szCs w:val="20"/>
              </w:rPr>
              <w:t>Ukupno</w:t>
            </w:r>
          </w:p>
        </w:tc>
        <w:tc>
          <w:tcPr>
            <w:tcW w:w="3972" w:type="dxa"/>
            <w:tcBorders>
              <w:top w:val="single" w:sz="4" w:space="0" w:color="auto"/>
              <w:left w:val="nil"/>
              <w:bottom w:val="single" w:sz="4" w:space="0" w:color="auto"/>
            </w:tcBorders>
          </w:tcPr>
          <w:p w:rsidR="00BD6122" w:rsidRPr="006B4EF1" w:rsidRDefault="00BD6122" w:rsidP="00FA4A65">
            <w:pPr>
              <w:jc w:val="right"/>
              <w:rPr>
                <w:rFonts w:ascii="Arial" w:hAnsi="Arial" w:cs="Arial"/>
                <w:sz w:val="20"/>
                <w:szCs w:val="20"/>
              </w:rPr>
            </w:pPr>
            <w:r w:rsidRPr="006B4EF1">
              <w:rPr>
                <w:rFonts w:ascii="Arial" w:hAnsi="Arial" w:cs="Arial"/>
                <w:sz w:val="20"/>
                <w:szCs w:val="20"/>
              </w:rPr>
              <w:t>27.380.821,55 kn</w:t>
            </w:r>
          </w:p>
        </w:tc>
      </w:tr>
    </w:tbl>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 xml:space="preserve">Odredbom članka 37.a Pravilnika o proračunskom računovodstvu i Računskom planu, propisano je da se ispravak vrijednosti potraživanja provodi na kraju godine, uzimajući u obzir kašnjenje u naplati preko godine dana i pokretanje stečajnog postupka i/ili likvidacijskog postupka nad dužnikom. Ako se s naplatom kasni između jedne i tri godine vrijednost potraživanja ispravlja se po stopi od 50%, a iznad tri godine vrijednost potraživanja ispravlja se po stopi od 100%. Bez obzira na provođenje ispravka vrijednosti potraživanja u skladu s navedenim pravilnikom, Grad Biograd na Moru i proračunski korisnici poduzimaju sve potrebne mjere za potpunu naplatu prihoda i primitaka iz nadležnosti i uplatu u proračun, odnosno financijski plan prema važečim propisima. U potpunosti ispravljena potraživanja zadržavaju se u bilančnoj evidenciji sve do trenutka prestanka postojanja pravne osnove za njihovu naplatu tj. sva sredstva koja se nalaze na kontu ispravka vrijednosti potraživanja su naplativa. </w:t>
      </w:r>
    </w:p>
    <w:p w:rsidR="00BD6122" w:rsidRDefault="00BD6122" w:rsidP="00BD6122">
      <w:pPr>
        <w:pStyle w:val="Odlomakpopisa"/>
        <w:numPr>
          <w:ilvl w:val="0"/>
          <w:numId w:val="20"/>
        </w:numPr>
        <w:jc w:val="both"/>
        <w:rPr>
          <w:rFonts w:ascii="Arial" w:hAnsi="Arial" w:cs="Arial"/>
          <w:sz w:val="20"/>
          <w:szCs w:val="20"/>
        </w:rPr>
      </w:pPr>
      <w:r w:rsidRPr="006B4EF1">
        <w:rPr>
          <w:rFonts w:ascii="Arial" w:hAnsi="Arial" w:cs="Arial"/>
          <w:sz w:val="20"/>
          <w:szCs w:val="20"/>
        </w:rPr>
        <w:t>Stanje nepodmirenih dospjelih obveza Grada Biograda na Moru na dan 31. prosinca 2022. godine u ukupnom iznosu 9.427.419,46 kuna.</w:t>
      </w:r>
    </w:p>
    <w:p w:rsidR="00BD6122" w:rsidRPr="006B4EF1" w:rsidRDefault="00BD6122" w:rsidP="00BD6122">
      <w:pPr>
        <w:pStyle w:val="Odlomakpopisa"/>
        <w:jc w:val="both"/>
        <w:rPr>
          <w:rFonts w:ascii="Arial" w:hAnsi="Arial" w:cs="Arial"/>
          <w:sz w:val="20"/>
          <w:szCs w:val="20"/>
        </w:rPr>
      </w:pPr>
    </w:p>
    <w:tbl>
      <w:tblPr>
        <w:tblStyle w:val="Reetkatablice"/>
        <w:tblW w:w="0" w:type="auto"/>
        <w:jc w:val="center"/>
        <w:tblInd w:w="0" w:type="dxa"/>
        <w:tblLook w:val="04A0" w:firstRow="1" w:lastRow="0" w:firstColumn="1" w:lastColumn="0" w:noHBand="0" w:noVBand="1"/>
      </w:tblPr>
      <w:tblGrid>
        <w:gridCol w:w="4531"/>
        <w:gridCol w:w="4111"/>
      </w:tblGrid>
      <w:tr w:rsidR="00BD6122" w:rsidRPr="006B4EF1" w:rsidTr="00FA4A65">
        <w:trPr>
          <w:jc w:val="center"/>
        </w:trPr>
        <w:tc>
          <w:tcPr>
            <w:tcW w:w="4531" w:type="dxa"/>
          </w:tcPr>
          <w:p w:rsidR="00BD6122" w:rsidRPr="006B4EF1" w:rsidRDefault="00BD6122" w:rsidP="00FA4A65">
            <w:pPr>
              <w:jc w:val="both"/>
              <w:rPr>
                <w:rFonts w:ascii="Arial" w:hAnsi="Arial" w:cs="Arial"/>
                <w:sz w:val="20"/>
                <w:szCs w:val="20"/>
              </w:rPr>
            </w:pPr>
            <w:r w:rsidRPr="006B4EF1">
              <w:rPr>
                <w:rFonts w:ascii="Arial" w:hAnsi="Arial" w:cs="Arial"/>
                <w:sz w:val="20"/>
                <w:szCs w:val="20"/>
              </w:rPr>
              <w:t>Obveze za rashode poslovanja</w:t>
            </w:r>
          </w:p>
          <w:p w:rsidR="00BD6122" w:rsidRPr="006B4EF1" w:rsidRDefault="00BD6122" w:rsidP="00FA4A65">
            <w:pPr>
              <w:jc w:val="both"/>
              <w:rPr>
                <w:rFonts w:ascii="Arial" w:hAnsi="Arial" w:cs="Arial"/>
                <w:sz w:val="20"/>
                <w:szCs w:val="20"/>
              </w:rPr>
            </w:pPr>
            <w:r w:rsidRPr="006B4EF1">
              <w:rPr>
                <w:rFonts w:ascii="Arial" w:hAnsi="Arial" w:cs="Arial"/>
                <w:sz w:val="20"/>
                <w:szCs w:val="20"/>
              </w:rPr>
              <w:t>Obveze za nabavu nefinancijske imovine</w:t>
            </w:r>
          </w:p>
        </w:tc>
        <w:tc>
          <w:tcPr>
            <w:tcW w:w="4111" w:type="dxa"/>
          </w:tcPr>
          <w:p w:rsidR="00BD6122" w:rsidRPr="006B4EF1" w:rsidRDefault="00BD6122" w:rsidP="00FA4A65">
            <w:pPr>
              <w:jc w:val="right"/>
              <w:rPr>
                <w:rFonts w:ascii="Arial" w:hAnsi="Arial" w:cs="Arial"/>
                <w:sz w:val="20"/>
                <w:szCs w:val="20"/>
              </w:rPr>
            </w:pPr>
            <w:r w:rsidRPr="006B4EF1">
              <w:rPr>
                <w:rFonts w:ascii="Arial" w:hAnsi="Arial" w:cs="Arial"/>
                <w:sz w:val="20"/>
                <w:szCs w:val="20"/>
              </w:rPr>
              <w:t>5.758.288,11 kn</w:t>
            </w:r>
          </w:p>
          <w:p w:rsidR="00BD6122" w:rsidRPr="006B4EF1" w:rsidRDefault="00BD6122" w:rsidP="00DA3565">
            <w:pPr>
              <w:jc w:val="right"/>
              <w:rPr>
                <w:rFonts w:ascii="Arial" w:hAnsi="Arial" w:cs="Arial"/>
                <w:sz w:val="20"/>
                <w:szCs w:val="20"/>
              </w:rPr>
            </w:pPr>
            <w:r w:rsidRPr="006B4EF1">
              <w:rPr>
                <w:rFonts w:ascii="Arial" w:hAnsi="Arial" w:cs="Arial"/>
                <w:sz w:val="20"/>
                <w:szCs w:val="20"/>
              </w:rPr>
              <w:t>3.669.131,35 kn</w:t>
            </w:r>
          </w:p>
        </w:tc>
      </w:tr>
      <w:tr w:rsidR="00BD6122" w:rsidRPr="006B4EF1" w:rsidTr="00FA4A65">
        <w:trPr>
          <w:jc w:val="center"/>
        </w:trPr>
        <w:tc>
          <w:tcPr>
            <w:tcW w:w="4531" w:type="dxa"/>
          </w:tcPr>
          <w:p w:rsidR="00BD6122" w:rsidRPr="006B4EF1" w:rsidRDefault="00BD6122" w:rsidP="00FA4A65">
            <w:pPr>
              <w:jc w:val="both"/>
              <w:rPr>
                <w:rFonts w:ascii="Arial" w:hAnsi="Arial" w:cs="Arial"/>
                <w:sz w:val="20"/>
                <w:szCs w:val="20"/>
              </w:rPr>
            </w:pPr>
            <w:r w:rsidRPr="006B4EF1">
              <w:rPr>
                <w:rFonts w:ascii="Arial" w:hAnsi="Arial" w:cs="Arial"/>
                <w:sz w:val="20"/>
                <w:szCs w:val="20"/>
              </w:rPr>
              <w:t>Ukupno</w:t>
            </w:r>
          </w:p>
        </w:tc>
        <w:tc>
          <w:tcPr>
            <w:tcW w:w="4111" w:type="dxa"/>
          </w:tcPr>
          <w:p w:rsidR="00BD6122" w:rsidRPr="006B4EF1" w:rsidRDefault="00BD6122" w:rsidP="00FA4A65">
            <w:pPr>
              <w:jc w:val="right"/>
              <w:rPr>
                <w:rFonts w:ascii="Arial" w:hAnsi="Arial" w:cs="Arial"/>
                <w:sz w:val="20"/>
                <w:szCs w:val="20"/>
              </w:rPr>
            </w:pPr>
            <w:r w:rsidRPr="006B4EF1">
              <w:rPr>
                <w:rFonts w:ascii="Arial" w:hAnsi="Arial" w:cs="Arial"/>
                <w:sz w:val="20"/>
                <w:szCs w:val="20"/>
              </w:rPr>
              <w:t>9.427.419,46 kn</w:t>
            </w:r>
          </w:p>
        </w:tc>
      </w:tr>
    </w:tbl>
    <w:p w:rsidR="00BD6122" w:rsidRPr="006B4EF1" w:rsidRDefault="00BD6122" w:rsidP="00BD6122">
      <w:pPr>
        <w:jc w:val="both"/>
        <w:rPr>
          <w:rFonts w:ascii="Arial" w:hAnsi="Arial" w:cs="Arial"/>
          <w:sz w:val="20"/>
          <w:szCs w:val="20"/>
        </w:rPr>
      </w:pPr>
    </w:p>
    <w:p w:rsidR="00BD6122" w:rsidRPr="006B4EF1" w:rsidRDefault="00BD6122" w:rsidP="00BD6122">
      <w:pPr>
        <w:pStyle w:val="Odlomakpopisa"/>
        <w:numPr>
          <w:ilvl w:val="0"/>
          <w:numId w:val="22"/>
        </w:numPr>
        <w:jc w:val="both"/>
        <w:rPr>
          <w:rFonts w:ascii="Arial" w:hAnsi="Arial" w:cs="Arial"/>
          <w:sz w:val="20"/>
          <w:szCs w:val="20"/>
        </w:rPr>
      </w:pPr>
      <w:r w:rsidRPr="006B4EF1">
        <w:rPr>
          <w:rFonts w:ascii="Arial" w:hAnsi="Arial" w:cs="Arial"/>
          <w:sz w:val="20"/>
          <w:szCs w:val="20"/>
        </w:rPr>
        <w:t xml:space="preserve">Stanje potencijalnih obveza po osnovi sudskih postupaka Grada Biograda na Moru na dan 31. prosinca 2022. godine iznosi 912.168,32 kuna. Obveze po osnovi sudskih postupaka odnose se na postupke radi isplate (izvršena istraživanja, naknada štete s osnova izmakle koristi), jer postupci radi predaje u posjed nekretnine, utvrđenja i uknjižbe vlasništva, presude koje nadomještaju ugovore i slično nisu potencijalne obveze.  </w:t>
      </w:r>
    </w:p>
    <w:p w:rsidR="00BD6122" w:rsidRPr="006B4EF1" w:rsidRDefault="00BD6122" w:rsidP="00BD6122">
      <w:pPr>
        <w:jc w:val="both"/>
        <w:rPr>
          <w:rFonts w:ascii="Arial" w:hAnsi="Arial" w:cs="Arial"/>
          <w:sz w:val="20"/>
          <w:szCs w:val="20"/>
        </w:rPr>
      </w:pPr>
    </w:p>
    <w:p w:rsidR="00BD6122" w:rsidRPr="006B4EF1" w:rsidRDefault="00BD6122" w:rsidP="00BD6122">
      <w:pPr>
        <w:jc w:val="both"/>
        <w:rPr>
          <w:rFonts w:ascii="Arial" w:hAnsi="Arial" w:cs="Arial"/>
          <w:sz w:val="20"/>
          <w:szCs w:val="20"/>
        </w:rPr>
      </w:pPr>
      <w:r w:rsidRPr="006B4EF1">
        <w:rPr>
          <w:rFonts w:ascii="Arial" w:hAnsi="Arial" w:cs="Arial"/>
          <w:sz w:val="20"/>
          <w:szCs w:val="20"/>
        </w:rPr>
        <w:t>U potencijalne obveze po osnovi sudskih postupaka Grada Biograda na Moru se ubrajaju sljedeći sudski posupci:</w:t>
      </w:r>
    </w:p>
    <w:tbl>
      <w:tblPr>
        <w:tblStyle w:val="Reetkatablice"/>
        <w:tblW w:w="0" w:type="auto"/>
        <w:jc w:val="center"/>
        <w:tblInd w:w="0" w:type="dxa"/>
        <w:tblLayout w:type="fixed"/>
        <w:tblLook w:val="04A0" w:firstRow="1" w:lastRow="0" w:firstColumn="1" w:lastColumn="0" w:noHBand="0" w:noVBand="1"/>
      </w:tblPr>
      <w:tblGrid>
        <w:gridCol w:w="6663"/>
        <w:gridCol w:w="1984"/>
      </w:tblGrid>
      <w:tr w:rsidR="00BD6122" w:rsidRPr="006B4EF1" w:rsidTr="00FA4A65">
        <w:trPr>
          <w:jc w:val="center"/>
        </w:trPr>
        <w:tc>
          <w:tcPr>
            <w:tcW w:w="6663" w:type="dxa"/>
          </w:tcPr>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65 Pn152/16, 65 Pn-110/17</w:t>
            </w:r>
          </w:p>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65 Pn153/16, 65 Pn-9/2018</w:t>
            </w:r>
          </w:p>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 xml:space="preserve">P-2603/2019, P-210/2020 </w:t>
            </w:r>
          </w:p>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8 Pn-56/2021</w:t>
            </w:r>
          </w:p>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P-685/2018, Gž-279/2019, P-1394/2019, Gž-188/2020</w:t>
            </w:r>
          </w:p>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P-689/2018, Gž-705/2019, P-2156/2019, 79 Gž-1832/2020, Revd 1700/2021</w:t>
            </w:r>
          </w:p>
          <w:p w:rsidR="00BD6122" w:rsidRPr="006B4EF1" w:rsidRDefault="00BD6122" w:rsidP="00BD6122">
            <w:pPr>
              <w:pStyle w:val="Odlomakpopisa"/>
              <w:numPr>
                <w:ilvl w:val="0"/>
                <w:numId w:val="21"/>
              </w:numPr>
              <w:jc w:val="both"/>
              <w:rPr>
                <w:rFonts w:ascii="Arial" w:hAnsi="Arial" w:cs="Arial"/>
                <w:sz w:val="20"/>
                <w:szCs w:val="20"/>
              </w:rPr>
            </w:pPr>
            <w:r w:rsidRPr="006B4EF1">
              <w:rPr>
                <w:rFonts w:ascii="Arial" w:hAnsi="Arial" w:cs="Arial"/>
                <w:sz w:val="20"/>
                <w:szCs w:val="20"/>
              </w:rPr>
              <w:t>P-693/2018, 47 Gž-692/19, 26 P-838/2019, Gž-755/2020, Revd 2677/2020</w:t>
            </w:r>
          </w:p>
        </w:tc>
        <w:tc>
          <w:tcPr>
            <w:tcW w:w="1984" w:type="dxa"/>
          </w:tcPr>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14.836,25 kn</w:t>
            </w:r>
          </w:p>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17.903,75 kn</w:t>
            </w:r>
          </w:p>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37.000,00 kn</w:t>
            </w:r>
          </w:p>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745.874,00 kn</w:t>
            </w:r>
          </w:p>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34.303,50 kn</w:t>
            </w:r>
          </w:p>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25.524,92</w:t>
            </w:r>
          </w:p>
          <w:p w:rsidR="00BD6122" w:rsidRPr="006B4EF1" w:rsidRDefault="00BD6122" w:rsidP="00FA4A65">
            <w:pPr>
              <w:pStyle w:val="Odlomakpopisa"/>
              <w:ind w:left="0"/>
              <w:jc w:val="right"/>
              <w:rPr>
                <w:rFonts w:ascii="Arial" w:hAnsi="Arial" w:cs="Arial"/>
                <w:sz w:val="20"/>
                <w:szCs w:val="20"/>
              </w:rPr>
            </w:pPr>
          </w:p>
          <w:p w:rsidR="00BD6122" w:rsidRPr="006B4EF1" w:rsidRDefault="00BD6122" w:rsidP="00FA4A65">
            <w:pPr>
              <w:pStyle w:val="Odlomakpopisa"/>
              <w:ind w:left="0"/>
              <w:jc w:val="right"/>
              <w:rPr>
                <w:rFonts w:ascii="Arial" w:hAnsi="Arial" w:cs="Arial"/>
                <w:sz w:val="20"/>
                <w:szCs w:val="20"/>
              </w:rPr>
            </w:pPr>
            <w:r w:rsidRPr="006B4EF1">
              <w:rPr>
                <w:rFonts w:ascii="Arial" w:hAnsi="Arial" w:cs="Arial"/>
                <w:sz w:val="20"/>
                <w:szCs w:val="20"/>
              </w:rPr>
              <w:t>36.725,90</w:t>
            </w:r>
          </w:p>
        </w:tc>
      </w:tr>
      <w:tr w:rsidR="00BD6122" w:rsidRPr="006B4EF1" w:rsidTr="00FA4A65">
        <w:trPr>
          <w:jc w:val="center"/>
        </w:trPr>
        <w:tc>
          <w:tcPr>
            <w:tcW w:w="6663" w:type="dxa"/>
          </w:tcPr>
          <w:p w:rsidR="00BD6122" w:rsidRPr="006B4EF1" w:rsidRDefault="00BD6122" w:rsidP="00FA4A65">
            <w:pPr>
              <w:pStyle w:val="Odlomakpopisa"/>
              <w:jc w:val="both"/>
              <w:rPr>
                <w:rFonts w:ascii="Arial" w:hAnsi="Arial" w:cs="Arial"/>
                <w:b/>
                <w:bCs/>
                <w:sz w:val="20"/>
                <w:szCs w:val="20"/>
              </w:rPr>
            </w:pPr>
            <w:r w:rsidRPr="006B4EF1">
              <w:rPr>
                <w:rFonts w:ascii="Arial" w:hAnsi="Arial" w:cs="Arial"/>
                <w:b/>
                <w:bCs/>
                <w:sz w:val="20"/>
                <w:szCs w:val="20"/>
              </w:rPr>
              <w:t>Ukupno:</w:t>
            </w:r>
          </w:p>
        </w:tc>
        <w:tc>
          <w:tcPr>
            <w:tcW w:w="1984" w:type="dxa"/>
          </w:tcPr>
          <w:p w:rsidR="00BD6122" w:rsidRPr="006B4EF1" w:rsidRDefault="00BD6122" w:rsidP="00FA4A65">
            <w:pPr>
              <w:jc w:val="right"/>
              <w:rPr>
                <w:rFonts w:ascii="Arial" w:hAnsi="Arial" w:cs="Arial"/>
                <w:b/>
                <w:bCs/>
                <w:sz w:val="20"/>
                <w:szCs w:val="20"/>
              </w:rPr>
            </w:pPr>
            <w:r w:rsidRPr="006B4EF1">
              <w:rPr>
                <w:rFonts w:ascii="Arial" w:hAnsi="Arial" w:cs="Arial"/>
                <w:b/>
                <w:bCs/>
                <w:sz w:val="20"/>
                <w:szCs w:val="20"/>
              </w:rPr>
              <w:t>912.168,32 kn</w:t>
            </w:r>
          </w:p>
        </w:tc>
      </w:tr>
    </w:tbl>
    <w:p w:rsidR="00BD6122" w:rsidRDefault="00BD6122" w:rsidP="00BD6122">
      <w:pPr>
        <w:jc w:val="both"/>
        <w:rPr>
          <w:rFonts w:ascii="Arial" w:hAnsi="Arial" w:cs="Arial"/>
          <w:sz w:val="20"/>
          <w:szCs w:val="20"/>
        </w:rPr>
      </w:pPr>
    </w:p>
    <w:p w:rsidR="00EA441D" w:rsidRDefault="00EA441D" w:rsidP="00BD6122">
      <w:pPr>
        <w:jc w:val="both"/>
        <w:rPr>
          <w:rFonts w:ascii="Arial" w:hAnsi="Arial" w:cs="Arial"/>
          <w:sz w:val="20"/>
          <w:szCs w:val="20"/>
        </w:rPr>
      </w:pPr>
    </w:p>
    <w:p w:rsidR="00EA441D" w:rsidRDefault="00EA441D" w:rsidP="00BD6122">
      <w:pPr>
        <w:jc w:val="both"/>
        <w:rPr>
          <w:rFonts w:ascii="Arial" w:hAnsi="Arial" w:cs="Arial"/>
          <w:sz w:val="20"/>
          <w:szCs w:val="20"/>
        </w:rPr>
      </w:pPr>
    </w:p>
    <w:p w:rsidR="00EA441D" w:rsidRPr="006B4EF1" w:rsidRDefault="00EA441D" w:rsidP="00BD6122">
      <w:pPr>
        <w:jc w:val="both"/>
        <w:rPr>
          <w:rFonts w:ascii="Arial" w:hAnsi="Arial" w:cs="Arial"/>
          <w:sz w:val="20"/>
          <w:szCs w:val="20"/>
        </w:rPr>
      </w:pPr>
    </w:p>
    <w:tbl>
      <w:tblPr>
        <w:tblStyle w:val="Reetkatablice"/>
        <w:tblW w:w="0" w:type="auto"/>
        <w:tblInd w:w="0" w:type="dxa"/>
        <w:tblLook w:val="04A0" w:firstRow="1" w:lastRow="0" w:firstColumn="1" w:lastColumn="0" w:noHBand="0" w:noVBand="1"/>
      </w:tblPr>
      <w:tblGrid>
        <w:gridCol w:w="9061"/>
      </w:tblGrid>
      <w:tr w:rsidR="00BD6122" w:rsidRPr="006B4EF1" w:rsidTr="00FA4A65">
        <w:tc>
          <w:tcPr>
            <w:tcW w:w="9062" w:type="dxa"/>
          </w:tcPr>
          <w:p w:rsidR="00BD6122" w:rsidRPr="006B4EF1" w:rsidRDefault="00BD6122" w:rsidP="00BD6122">
            <w:pPr>
              <w:pStyle w:val="Bezproreda"/>
              <w:numPr>
                <w:ilvl w:val="0"/>
                <w:numId w:val="35"/>
              </w:numPr>
              <w:rPr>
                <w:rFonts w:ascii="Arial" w:hAnsi="Arial" w:cs="Arial"/>
                <w:b/>
                <w:sz w:val="20"/>
                <w:szCs w:val="20"/>
              </w:rPr>
            </w:pPr>
            <w:r w:rsidRPr="006B4EF1">
              <w:rPr>
                <w:rFonts w:ascii="Arial" w:hAnsi="Arial" w:cs="Arial"/>
                <w:b/>
                <w:sz w:val="20"/>
                <w:szCs w:val="20"/>
              </w:rPr>
              <w:lastRenderedPageBreak/>
              <w:t>Primljene pomoći iz fondova EU</w:t>
            </w:r>
          </w:p>
        </w:tc>
      </w:tr>
    </w:tbl>
    <w:p w:rsidR="00BD6122" w:rsidRDefault="00BD6122" w:rsidP="00BD6122">
      <w:pPr>
        <w:jc w:val="both"/>
        <w:rPr>
          <w:rFonts w:ascii="Arial" w:hAnsi="Arial" w:cs="Arial"/>
          <w:sz w:val="20"/>
          <w:szCs w:val="20"/>
        </w:rPr>
      </w:pPr>
    </w:p>
    <w:p w:rsidR="00BD6122" w:rsidRPr="006B4EF1" w:rsidRDefault="00BD6122" w:rsidP="00BD6122">
      <w:pPr>
        <w:jc w:val="both"/>
        <w:rPr>
          <w:rFonts w:ascii="Arial" w:hAnsi="Arial" w:cs="Arial"/>
          <w:b/>
          <w:bCs/>
          <w:sz w:val="20"/>
          <w:szCs w:val="20"/>
        </w:rPr>
      </w:pPr>
      <w:bookmarkStart w:id="1" w:name="_Hlk132369681"/>
      <w:r w:rsidRPr="006B4EF1">
        <w:rPr>
          <w:rFonts w:ascii="Arial" w:hAnsi="Arial" w:cs="Arial"/>
          <w:b/>
          <w:bCs/>
          <w:sz w:val="20"/>
          <w:szCs w:val="20"/>
        </w:rPr>
        <w:t>Projekt "Zaželi BnM"</w:t>
      </w:r>
    </w:p>
    <w:p w:rsidR="00BD6122" w:rsidRPr="006B4EF1" w:rsidRDefault="00BD6122" w:rsidP="00BD6122">
      <w:pPr>
        <w:jc w:val="both"/>
        <w:rPr>
          <w:rFonts w:ascii="Arial" w:hAnsi="Arial" w:cs="Arial"/>
          <w:sz w:val="20"/>
          <w:szCs w:val="20"/>
        </w:rPr>
      </w:pPr>
      <w:r w:rsidRPr="006B4EF1">
        <w:rPr>
          <w:rFonts w:ascii="Arial" w:hAnsi="Arial" w:cs="Arial"/>
          <w:sz w:val="20"/>
          <w:szCs w:val="20"/>
        </w:rPr>
        <w:t>Projekt "Zaželi BnM" gdje je Grad Biograd na Moru partner sa HZZ Područni ured Zadar, CZSS Biograd na Moru, Udruga Nada i Općina Tkon. Ukupna vrijednost projekta: 444.860,00 kn bespovratnih sredstava - 15% Državni proračun RH i 85% ESF. Razdoblje provedbe projekta je 8 mjeseci. U 2022. godini je Grad Biograd na Moru primio 177.944,00 kuna tekuće pomoći iz Državnog proračuna za projekt "Zaželi BnM".</w:t>
      </w:r>
    </w:p>
    <w:p w:rsidR="00BD6122" w:rsidRPr="006B4EF1" w:rsidRDefault="00BD6122" w:rsidP="00BD6122">
      <w:pPr>
        <w:jc w:val="both"/>
        <w:rPr>
          <w:rFonts w:ascii="Arial" w:hAnsi="Arial" w:cs="Arial"/>
          <w:sz w:val="20"/>
          <w:szCs w:val="20"/>
        </w:rPr>
      </w:pPr>
      <w:r w:rsidRPr="006B4EF1">
        <w:rPr>
          <w:rFonts w:ascii="Arial" w:hAnsi="Arial" w:cs="Arial"/>
          <w:sz w:val="20"/>
          <w:szCs w:val="20"/>
        </w:rPr>
        <w:t>Cilj projekta je integracija nezaposlenih žena na tržište rada te kontinuirana njega i skrb za osobe starije životne dobi i nemoćne osobe u njihovim domovima kako bi imali pomoć u dostavi namirnica, lijekova i drugih potrepština, briga o osobnoj higijeni korisnika, pomoć u pripremi obroka u kućanstvima krajnjih korisnika, pomoć u održavanju čistoće stambenog prostora/domova korisnika, pružanje podrške korisnicima kroz razgovore i druženje te uključivanje u društvo, pratnja i pomoć u raznim društvenim aktivnostima, pomoć u ostvarivanju raznih prava ( plaćanje računa, dostava pomagala i sl.) i drugi poslovi vezane uz skrb starijih osoba i osoba u nepovoljnom položaju.</w:t>
      </w:r>
    </w:p>
    <w:bookmarkEnd w:id="1"/>
    <w:p w:rsidR="00BD6122" w:rsidRPr="006B4EF1" w:rsidRDefault="00BD6122" w:rsidP="00BD6122">
      <w:pPr>
        <w:pStyle w:val="Bezproreda"/>
        <w:jc w:val="both"/>
        <w:rPr>
          <w:rFonts w:ascii="Arial" w:hAnsi="Arial" w:cs="Arial"/>
          <w:sz w:val="20"/>
          <w:szCs w:val="20"/>
        </w:rPr>
      </w:pPr>
    </w:p>
    <w:p w:rsidR="00BD6122" w:rsidRPr="006B4EF1" w:rsidRDefault="00BD6122" w:rsidP="00BD6122">
      <w:pPr>
        <w:pStyle w:val="Bezproreda"/>
        <w:ind w:left="4956" w:firstLine="708"/>
        <w:jc w:val="both"/>
        <w:rPr>
          <w:rFonts w:ascii="Arial" w:hAnsi="Arial" w:cs="Arial"/>
          <w:b/>
          <w:bCs/>
          <w:sz w:val="20"/>
          <w:szCs w:val="20"/>
        </w:rPr>
      </w:pPr>
      <w:r w:rsidRPr="006B4EF1">
        <w:rPr>
          <w:rFonts w:ascii="Arial" w:hAnsi="Arial" w:cs="Arial"/>
          <w:b/>
          <w:bCs/>
          <w:sz w:val="20"/>
          <w:szCs w:val="20"/>
        </w:rPr>
        <w:t>Jedinstveni upravni odjel</w:t>
      </w:r>
    </w:p>
    <w:p w:rsidR="00F25A72" w:rsidRDefault="00F25A72" w:rsidP="000A6DC7">
      <w:pPr>
        <w:jc w:val="center"/>
        <w:rPr>
          <w:rFonts w:ascii="Arial" w:hAnsi="Arial" w:cs="Arial"/>
        </w:rPr>
      </w:pPr>
    </w:p>
    <w:p w:rsidR="000A6DC7" w:rsidRPr="002B6238" w:rsidRDefault="000A6DC7" w:rsidP="000A6DC7">
      <w:pPr>
        <w:jc w:val="center"/>
        <w:rPr>
          <w:rFonts w:ascii="Arial" w:eastAsia="Calibri" w:hAnsi="Arial" w:cs="Arial"/>
          <w:szCs w:val="32"/>
        </w:rPr>
      </w:pPr>
      <w:r>
        <w:rPr>
          <w:rFonts w:ascii="Arial" w:hAnsi="Arial" w:cs="Arial"/>
        </w:rPr>
        <w:t>***</w:t>
      </w:r>
    </w:p>
    <w:p w:rsidR="00DA3565" w:rsidRDefault="00DA3565" w:rsidP="00FA4A65">
      <w:pPr>
        <w:pStyle w:val="Bezproreda"/>
        <w:jc w:val="both"/>
        <w:rPr>
          <w:rFonts w:ascii="Arial" w:hAnsi="Arial" w:cs="Arial"/>
          <w:sz w:val="20"/>
          <w:szCs w:val="20"/>
        </w:rPr>
      </w:pPr>
      <w:bookmarkStart w:id="2" w:name="_GoBack"/>
      <w:bookmarkEnd w:id="2"/>
    </w:p>
    <w:sectPr w:rsidR="00DA3565" w:rsidSect="00DD13E0">
      <w:headerReference w:type="default" r:id="rId9"/>
      <w:footerReference w:type="default" r:id="rId10"/>
      <w:pgSz w:w="11907" w:h="16839" w:code="9"/>
      <w:pgMar w:top="1418" w:right="1418" w:bottom="1418" w:left="1418" w:header="720" w:footer="720" w:gutter="0"/>
      <w:pgNumType w:start="69" w:chapStyle="1"/>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20" w:rsidRDefault="00112F20">
      <w:r>
        <w:separator/>
      </w:r>
    </w:p>
  </w:endnote>
  <w:endnote w:type="continuationSeparator" w:id="0">
    <w:p w:rsidR="00112F20" w:rsidRDefault="0011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CRO_Dutch">
    <w:altName w:val="Times New Roman"/>
    <w:panose1 w:val="00000000000000000000"/>
    <w:charset w:val="00"/>
    <w:family w:val="auto"/>
    <w:notTrueType/>
    <w:pitch w:val="variable"/>
    <w:sig w:usb0="00000003" w:usb1="00000000" w:usb2="00000000" w:usb3="00000000" w:csb0="00000001" w:csb1="00000000"/>
  </w:font>
  <w:font w:name="Nimrod">
    <w:altName w:val="Times New Roman"/>
    <w:panose1 w:val="00000000000000000000"/>
    <w:charset w:val="00"/>
    <w:family w:val="roman"/>
    <w:notTrueType/>
    <w:pitch w:val="default"/>
    <w:sig w:usb0="00000003" w:usb1="00000000" w:usb2="00000000" w:usb3="00000000" w:csb0="00000001" w:csb1="00000000"/>
  </w:font>
  <w:font w:name="HRHelvetica">
    <w:altName w:val="Arial"/>
    <w:charset w:val="EE"/>
    <w:family w:val="swiss"/>
    <w:pitch w:val="variable"/>
    <w:sig w:usb0="20007A87" w:usb1="80000000" w:usb2="00000008"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56" w:rsidRDefault="00AD3056" w:rsidP="00EB45D1">
    <w:pPr>
      <w:pStyle w:val="Podnoje"/>
      <w:pBdr>
        <w:bottom w:val="single" w:sz="12" w:space="1" w:color="auto"/>
      </w:pBdr>
    </w:pPr>
  </w:p>
  <w:p w:rsidR="00AD3056" w:rsidRPr="007933C7" w:rsidRDefault="00AD3056" w:rsidP="00EB45D1">
    <w:pPr>
      <w:pStyle w:val="Podnoje"/>
      <w:jc w:val="center"/>
      <w:rPr>
        <w:rFonts w:ascii="Arial" w:hAnsi="Arial" w:cs="Arial"/>
        <w:b/>
        <w:sz w:val="20"/>
        <w:szCs w:val="20"/>
      </w:rPr>
    </w:pPr>
    <w:r>
      <w:rPr>
        <w:rFonts w:ascii="Arial" w:hAnsi="Arial" w:cs="Arial"/>
        <w:b/>
        <w:sz w:val="20"/>
        <w:szCs w:val="20"/>
      </w:rPr>
      <w:t>GRAD BIOGRAD NA MORU</w:t>
    </w:r>
  </w:p>
  <w:p w:rsidR="00AD3056" w:rsidRDefault="00AD305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20" w:rsidRDefault="00112F20">
      <w:r>
        <w:separator/>
      </w:r>
    </w:p>
  </w:footnote>
  <w:footnote w:type="continuationSeparator" w:id="0">
    <w:p w:rsidR="00112F20" w:rsidRDefault="0011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56" w:rsidRPr="00054B04" w:rsidRDefault="00AD3056" w:rsidP="009A0AE0">
    <w:pPr>
      <w:pStyle w:val="Zaglavlje"/>
      <w:pBdr>
        <w:bottom w:val="single" w:sz="12" w:space="1" w:color="auto"/>
      </w:pBdr>
      <w:tabs>
        <w:tab w:val="clear" w:pos="8640"/>
        <w:tab w:val="left" w:pos="2076"/>
        <w:tab w:val="right" w:pos="9072"/>
      </w:tabs>
      <w:ind w:right="-1"/>
      <w:rPr>
        <w:rFonts w:ascii="Arial" w:hAnsi="Arial" w:cs="Arial"/>
        <w:b/>
        <w:sz w:val="20"/>
        <w:szCs w:val="20"/>
      </w:rPr>
    </w:pPr>
    <w:r>
      <w:rPr>
        <w:rStyle w:val="Brojstranice"/>
        <w:rFonts w:ascii="Arial" w:hAnsi="Arial" w:cs="Arial"/>
        <w:b/>
        <w:sz w:val="20"/>
        <w:szCs w:val="20"/>
      </w:rPr>
      <w:tab/>
    </w:r>
    <w:r>
      <w:rPr>
        <w:rStyle w:val="Brojstranice"/>
        <w:rFonts w:ascii="Arial" w:hAnsi="Arial" w:cs="Arial"/>
        <w:b/>
        <w:sz w:val="20"/>
        <w:szCs w:val="20"/>
      </w:rPr>
      <w:tab/>
    </w:r>
    <w:r>
      <w:rPr>
        <w:rStyle w:val="Brojstranice"/>
        <w:rFonts w:ascii="Arial" w:hAnsi="Arial" w:cs="Arial"/>
        <w:b/>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Cs w:val="24"/>
        <w:lang w:val="hr-HR"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4"/>
        <w:lang w:val="hr-HR"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4"/>
        <w:lang w:val="hr-HR"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lang w:val="hr-HR"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hr-HR"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hr-HR"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aps w:val="0"/>
        <w:smallCaps w:val="0"/>
        <w:color w:val="000000"/>
        <w:spacing w:val="0"/>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644"/>
        </w:tabs>
        <w:ind w:left="624" w:hanging="340"/>
      </w:pPr>
      <w:rPr>
        <w:rFonts w:ascii="Symbol" w:hAnsi="Symbol" w:cs="Symbol" w:hint="default"/>
        <w:b w:val="0"/>
        <w:i w:val="0"/>
        <w:color w:val="auto"/>
        <w:sz w:val="24"/>
        <w:szCs w:val="24"/>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A"/>
    <w:multiLevelType w:val="singleLevel"/>
    <w:tmpl w:val="0000000A"/>
    <w:name w:val="WW8Num10"/>
    <w:lvl w:ilvl="0">
      <w:start w:val="1"/>
      <w:numFmt w:val="bullet"/>
      <w:lvlText w:val=""/>
      <w:lvlJc w:val="left"/>
      <w:pPr>
        <w:tabs>
          <w:tab w:val="num" w:pos="644"/>
        </w:tabs>
        <w:ind w:left="624" w:hanging="340"/>
      </w:pPr>
      <w:rPr>
        <w:rFonts w:ascii="Symbol" w:hAnsi="Symbol" w:cs="Symbol" w:hint="default"/>
        <w:b w:val="0"/>
        <w:i w:val="0"/>
        <w:color w:val="auto"/>
        <w:sz w:val="24"/>
        <w:szCs w:val="24"/>
      </w:r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hint="default"/>
        <w:sz w:val="24"/>
      </w:rPr>
    </w:lvl>
  </w:abstractNum>
  <w:abstractNum w:abstractNumId="7"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8" w15:restartNumberingAfterBreak="0">
    <w:nsid w:val="0000000D"/>
    <w:multiLevelType w:val="multilevel"/>
    <w:tmpl w:val="0000000D"/>
    <w:name w:val="WW8Num13"/>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9"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OpenSymbol"/>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7"/>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2" w15:restartNumberingAfterBreak="0">
    <w:nsid w:val="01A07FD5"/>
    <w:multiLevelType w:val="hybridMultilevel"/>
    <w:tmpl w:val="B88EABA4"/>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5BF2600"/>
    <w:multiLevelType w:val="hybridMultilevel"/>
    <w:tmpl w:val="057CD0FC"/>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8C77649"/>
    <w:multiLevelType w:val="hybridMultilevel"/>
    <w:tmpl w:val="06D68BFA"/>
    <w:lvl w:ilvl="0" w:tplc="795E7ADA">
      <w:start w:val="2"/>
      <w:numFmt w:val="upperLetter"/>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09F95719"/>
    <w:multiLevelType w:val="hybridMultilevel"/>
    <w:tmpl w:val="425AE37E"/>
    <w:lvl w:ilvl="0" w:tplc="F4E6CE46">
      <w:start w:val="5"/>
      <w:numFmt w:val="upperRoman"/>
      <w:lvlText w:val="%1."/>
      <w:lvlJc w:val="left"/>
      <w:pPr>
        <w:ind w:left="862" w:hanging="720"/>
      </w:pPr>
      <w:rPr>
        <w:rFonts w:hint="default"/>
        <w:b/>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0A702838"/>
    <w:multiLevelType w:val="hybridMultilevel"/>
    <w:tmpl w:val="C21C3DA2"/>
    <w:lvl w:ilvl="0" w:tplc="E93A12B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7" w15:restartNumberingAfterBreak="0">
    <w:nsid w:val="0CCE6E56"/>
    <w:multiLevelType w:val="hybridMultilevel"/>
    <w:tmpl w:val="3676C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983892"/>
    <w:multiLevelType w:val="hybridMultilevel"/>
    <w:tmpl w:val="43627994"/>
    <w:lvl w:ilvl="0" w:tplc="7ECE3560">
      <w:start w:val="1"/>
      <w:numFmt w:val="bullet"/>
      <w:pStyle w:val="Grafikeoznake2"/>
      <w:lvlText w:val=""/>
      <w:lvlJc w:val="left"/>
      <w:pPr>
        <w:tabs>
          <w:tab w:val="num" w:pos="360"/>
        </w:tabs>
        <w:ind w:left="340" w:hanging="340"/>
      </w:pPr>
      <w:rPr>
        <w:rFonts w:ascii="Symbol" w:hAnsi="Symbol" w:hint="default"/>
      </w:rPr>
    </w:lvl>
    <w:lvl w:ilvl="1" w:tplc="E24C3088">
      <w:start w:val="1"/>
      <w:numFmt w:val="bullet"/>
      <w:lvlText w:val=""/>
      <w:lvlJc w:val="left"/>
      <w:pPr>
        <w:tabs>
          <w:tab w:val="num" w:pos="360"/>
        </w:tabs>
        <w:ind w:left="340" w:hanging="34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0E0B70E9"/>
    <w:multiLevelType w:val="hybridMultilevel"/>
    <w:tmpl w:val="0F5699E4"/>
    <w:lvl w:ilvl="0" w:tplc="08AAB76A">
      <w:numFmt w:val="bullet"/>
      <w:pStyle w:val="GRAFICKEOZNAKE"/>
      <w:lvlText w:val="-"/>
      <w:lvlJc w:val="left"/>
      <w:pPr>
        <w:tabs>
          <w:tab w:val="num" w:pos="644"/>
        </w:tabs>
        <w:ind w:left="624" w:hanging="340"/>
      </w:pPr>
      <w:rPr>
        <w:rFonts w:ascii="Symbol" w:hAnsi="Symbol" w:hint="default"/>
        <w:b w:val="0"/>
        <w:i w:val="0"/>
        <w:sz w:val="22"/>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0F9F6DF0"/>
    <w:multiLevelType w:val="hybridMultilevel"/>
    <w:tmpl w:val="E9E47A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0F81D40"/>
    <w:multiLevelType w:val="hybridMultilevel"/>
    <w:tmpl w:val="9D3458F2"/>
    <w:lvl w:ilvl="0" w:tplc="041A0017">
      <w:start w:val="1"/>
      <w:numFmt w:val="lowerLetter"/>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22" w15:restartNumberingAfterBreak="0">
    <w:nsid w:val="154F2DB3"/>
    <w:multiLevelType w:val="hybridMultilevel"/>
    <w:tmpl w:val="E0B8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BA1C24"/>
    <w:multiLevelType w:val="hybridMultilevel"/>
    <w:tmpl w:val="AE128E6A"/>
    <w:lvl w:ilvl="0" w:tplc="CA906B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B7C2797"/>
    <w:multiLevelType w:val="hybridMultilevel"/>
    <w:tmpl w:val="0338F41A"/>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F6F09EA"/>
    <w:multiLevelType w:val="multilevel"/>
    <w:tmpl w:val="0D2EDE70"/>
    <w:lvl w:ilvl="0">
      <w:start w:val="1"/>
      <w:numFmt w:val="bullet"/>
      <w:lvlText w:val=""/>
      <w:lvlJc w:val="left"/>
      <w:pPr>
        <w:tabs>
          <w:tab w:val="num" w:pos="727"/>
        </w:tabs>
        <w:ind w:left="727" w:hanging="360"/>
      </w:pPr>
      <w:rPr>
        <w:rFonts w:ascii="Symbol" w:hAnsi="Symbol" w:cs="OpenSymbol" w:hint="default"/>
        <w:sz w:val="22"/>
      </w:rPr>
    </w:lvl>
    <w:lvl w:ilvl="1">
      <w:start w:val="1"/>
      <w:numFmt w:val="bullet"/>
      <w:lvlText w:val="◦"/>
      <w:lvlJc w:val="left"/>
      <w:pPr>
        <w:tabs>
          <w:tab w:val="num" w:pos="1087"/>
        </w:tabs>
        <w:ind w:left="1087" w:hanging="360"/>
      </w:pPr>
      <w:rPr>
        <w:rFonts w:ascii="OpenSymbol" w:hAnsi="OpenSymbol" w:cs="OpenSymbol" w:hint="default"/>
      </w:rPr>
    </w:lvl>
    <w:lvl w:ilvl="2">
      <w:start w:val="1"/>
      <w:numFmt w:val="bullet"/>
      <w:lvlText w:val="▪"/>
      <w:lvlJc w:val="left"/>
      <w:pPr>
        <w:tabs>
          <w:tab w:val="num" w:pos="1447"/>
        </w:tabs>
        <w:ind w:left="1447" w:hanging="360"/>
      </w:pPr>
      <w:rPr>
        <w:rFonts w:ascii="OpenSymbol" w:hAnsi="OpenSymbol" w:cs="OpenSymbol" w:hint="default"/>
      </w:rPr>
    </w:lvl>
    <w:lvl w:ilvl="3">
      <w:start w:val="1"/>
      <w:numFmt w:val="bullet"/>
      <w:lvlText w:val=""/>
      <w:lvlJc w:val="left"/>
      <w:pPr>
        <w:tabs>
          <w:tab w:val="num" w:pos="1807"/>
        </w:tabs>
        <w:ind w:left="1807" w:hanging="360"/>
      </w:pPr>
      <w:rPr>
        <w:rFonts w:ascii="Symbol" w:hAnsi="Symbol" w:cs="OpenSymbol" w:hint="default"/>
      </w:rPr>
    </w:lvl>
    <w:lvl w:ilvl="4">
      <w:start w:val="1"/>
      <w:numFmt w:val="bullet"/>
      <w:lvlText w:val="◦"/>
      <w:lvlJc w:val="left"/>
      <w:pPr>
        <w:tabs>
          <w:tab w:val="num" w:pos="2167"/>
        </w:tabs>
        <w:ind w:left="2167" w:hanging="360"/>
      </w:pPr>
      <w:rPr>
        <w:rFonts w:ascii="OpenSymbol" w:hAnsi="OpenSymbol" w:cs="OpenSymbol" w:hint="default"/>
      </w:rPr>
    </w:lvl>
    <w:lvl w:ilvl="5">
      <w:start w:val="1"/>
      <w:numFmt w:val="bullet"/>
      <w:lvlText w:val="▪"/>
      <w:lvlJc w:val="left"/>
      <w:pPr>
        <w:tabs>
          <w:tab w:val="num" w:pos="2527"/>
        </w:tabs>
        <w:ind w:left="2527" w:hanging="360"/>
      </w:pPr>
      <w:rPr>
        <w:rFonts w:ascii="OpenSymbol" w:hAnsi="OpenSymbol" w:cs="OpenSymbol" w:hint="default"/>
      </w:rPr>
    </w:lvl>
    <w:lvl w:ilvl="6">
      <w:start w:val="1"/>
      <w:numFmt w:val="bullet"/>
      <w:lvlText w:val=""/>
      <w:lvlJc w:val="left"/>
      <w:pPr>
        <w:tabs>
          <w:tab w:val="num" w:pos="2887"/>
        </w:tabs>
        <w:ind w:left="2887" w:hanging="360"/>
      </w:pPr>
      <w:rPr>
        <w:rFonts w:ascii="Symbol" w:hAnsi="Symbol" w:cs="OpenSymbol" w:hint="default"/>
      </w:rPr>
    </w:lvl>
    <w:lvl w:ilvl="7">
      <w:start w:val="1"/>
      <w:numFmt w:val="bullet"/>
      <w:lvlText w:val="◦"/>
      <w:lvlJc w:val="left"/>
      <w:pPr>
        <w:tabs>
          <w:tab w:val="num" w:pos="3247"/>
        </w:tabs>
        <w:ind w:left="3247" w:hanging="360"/>
      </w:pPr>
      <w:rPr>
        <w:rFonts w:ascii="OpenSymbol" w:hAnsi="OpenSymbol" w:cs="OpenSymbol" w:hint="default"/>
      </w:rPr>
    </w:lvl>
    <w:lvl w:ilvl="8">
      <w:start w:val="1"/>
      <w:numFmt w:val="bullet"/>
      <w:lvlText w:val="▪"/>
      <w:lvlJc w:val="left"/>
      <w:pPr>
        <w:tabs>
          <w:tab w:val="num" w:pos="3607"/>
        </w:tabs>
        <w:ind w:left="3607" w:hanging="360"/>
      </w:pPr>
      <w:rPr>
        <w:rFonts w:ascii="OpenSymbol" w:hAnsi="OpenSymbol" w:cs="OpenSymbol" w:hint="default"/>
      </w:rPr>
    </w:lvl>
  </w:abstractNum>
  <w:abstractNum w:abstractNumId="26" w15:restartNumberingAfterBreak="0">
    <w:nsid w:val="1FE54091"/>
    <w:multiLevelType w:val="hybridMultilevel"/>
    <w:tmpl w:val="74D0E9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239554D5"/>
    <w:multiLevelType w:val="hybridMultilevel"/>
    <w:tmpl w:val="16D066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4021370"/>
    <w:multiLevelType w:val="hybridMultilevel"/>
    <w:tmpl w:val="DF845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41A2892"/>
    <w:multiLevelType w:val="hybridMultilevel"/>
    <w:tmpl w:val="3370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34CED"/>
    <w:multiLevelType w:val="hybridMultilevel"/>
    <w:tmpl w:val="12D26E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BFB696F"/>
    <w:multiLevelType w:val="hybridMultilevel"/>
    <w:tmpl w:val="4C164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D2B056E"/>
    <w:multiLevelType w:val="hybridMultilevel"/>
    <w:tmpl w:val="1B04E8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18748B8"/>
    <w:multiLevelType w:val="hybridMultilevel"/>
    <w:tmpl w:val="371EDBD0"/>
    <w:lvl w:ilvl="0" w:tplc="065415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3697910"/>
    <w:multiLevelType w:val="hybridMultilevel"/>
    <w:tmpl w:val="DA627F14"/>
    <w:lvl w:ilvl="0" w:tplc="8D568228">
      <w:numFmt w:val="bullet"/>
      <w:lvlText w:val="-"/>
      <w:lvlJc w:val="left"/>
      <w:pPr>
        <w:ind w:left="1068" w:hanging="360"/>
      </w:pPr>
      <w:rPr>
        <w:rFonts w:ascii="Times New Roman" w:eastAsiaTheme="minorEastAsia"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5" w15:restartNumberingAfterBreak="0">
    <w:nsid w:val="33F20A51"/>
    <w:multiLevelType w:val="hybridMultilevel"/>
    <w:tmpl w:val="FCFC1768"/>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6FF135A"/>
    <w:multiLevelType w:val="hybridMultilevel"/>
    <w:tmpl w:val="7004E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7341426"/>
    <w:multiLevelType w:val="hybridMultilevel"/>
    <w:tmpl w:val="2976F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cs="Times New Roman" w:hint="default"/>
        <w:b/>
        <w:i w:val="0"/>
        <w:sz w:val="20"/>
        <w:szCs w:val="20"/>
      </w:rPr>
    </w:lvl>
    <w:lvl w:ilvl="1">
      <w:numFmt w:val="none"/>
      <w:lvlText w:val="1.1."/>
      <w:lvlJc w:val="left"/>
      <w:pPr>
        <w:tabs>
          <w:tab w:val="num" w:pos="572"/>
        </w:tabs>
        <w:ind w:left="572" w:hanging="368"/>
      </w:pPr>
    </w:lvl>
    <w:lvl w:ilvl="2">
      <w:start w:val="1"/>
      <w:numFmt w:val="decimal"/>
      <w:lvlText w:val="%1.1.3."/>
      <w:lvlJc w:val="left"/>
      <w:pPr>
        <w:tabs>
          <w:tab w:val="num" w:pos="940"/>
        </w:tabs>
        <w:ind w:left="940" w:hanging="368"/>
      </w:pPr>
    </w:lvl>
    <w:lvl w:ilvl="3">
      <w:start w:val="1"/>
      <w:numFmt w:val="decimal"/>
      <w:lvlText w:val="%1.%2.%3.%4."/>
      <w:lvlJc w:val="left"/>
      <w:pPr>
        <w:tabs>
          <w:tab w:val="num" w:pos="1247"/>
        </w:tabs>
        <w:ind w:left="1247" w:hanging="91"/>
      </w:pPr>
    </w:lvl>
    <w:lvl w:ilvl="4">
      <w:start w:val="1"/>
      <w:numFmt w:val="decimal"/>
      <w:lvlText w:val="1.1.3.%5."/>
      <w:lvlJc w:val="left"/>
      <w:pPr>
        <w:tabs>
          <w:tab w:val="num" w:pos="1948"/>
        </w:tabs>
        <w:ind w:left="1948" w:hanging="792"/>
      </w:pPr>
    </w:lvl>
    <w:lvl w:ilvl="5">
      <w:start w:val="1"/>
      <w:numFmt w:val="decimal"/>
      <w:lvlText w:val="%1.%2.%3.%4.%5.%6."/>
      <w:lvlJc w:val="left"/>
      <w:pPr>
        <w:tabs>
          <w:tab w:val="num" w:pos="2452"/>
        </w:tabs>
        <w:ind w:left="2452" w:hanging="936"/>
      </w:pPr>
    </w:lvl>
    <w:lvl w:ilvl="6">
      <w:start w:val="1"/>
      <w:numFmt w:val="decimal"/>
      <w:lvlText w:val="%1.%2.%3.%4.%5.%6.%7."/>
      <w:lvlJc w:val="left"/>
      <w:pPr>
        <w:tabs>
          <w:tab w:val="num" w:pos="2956"/>
        </w:tabs>
        <w:ind w:left="2956" w:hanging="1080"/>
      </w:pPr>
    </w:lvl>
    <w:lvl w:ilvl="7">
      <w:start w:val="1"/>
      <w:numFmt w:val="decimal"/>
      <w:lvlText w:val="2.1.%8."/>
      <w:lvlJc w:val="left"/>
      <w:pPr>
        <w:tabs>
          <w:tab w:val="num" w:pos="850"/>
        </w:tabs>
        <w:ind w:left="850" w:hanging="278"/>
      </w:pPr>
    </w:lvl>
    <w:lvl w:ilvl="8">
      <w:start w:val="1"/>
      <w:numFmt w:val="none"/>
      <w:lvlText w:val="2.2.3.1."/>
      <w:lvlJc w:val="left"/>
      <w:pPr>
        <w:tabs>
          <w:tab w:val="num" w:pos="1950"/>
        </w:tabs>
        <w:ind w:left="1950" w:hanging="794"/>
      </w:pPr>
    </w:lvl>
  </w:abstractNum>
  <w:abstractNum w:abstractNumId="39" w15:restartNumberingAfterBreak="0">
    <w:nsid w:val="3A4D5E0C"/>
    <w:multiLevelType w:val="hybridMultilevel"/>
    <w:tmpl w:val="7D2EC3A2"/>
    <w:lvl w:ilvl="0" w:tplc="FFFFFFFF">
      <w:numFmt w:val="bullet"/>
      <w:pStyle w:val="GRAFOZNAKE-A11"/>
      <w:lvlText w:val="-"/>
      <w:lvlJc w:val="left"/>
      <w:pPr>
        <w:tabs>
          <w:tab w:val="num" w:pos="360"/>
        </w:tabs>
        <w:ind w:left="340" w:hanging="340"/>
      </w:pPr>
      <w:rPr>
        <w:rFonts w:ascii="Symbol" w:hAnsi="Symbol" w:hint="default"/>
        <w:b w:val="0"/>
        <w:i w:val="0"/>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B916AC1"/>
    <w:multiLevelType w:val="hybridMultilevel"/>
    <w:tmpl w:val="997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C27DB0"/>
    <w:multiLevelType w:val="hybridMultilevel"/>
    <w:tmpl w:val="2F146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E8A72BD"/>
    <w:multiLevelType w:val="hybridMultilevel"/>
    <w:tmpl w:val="7E748BC4"/>
    <w:lvl w:ilvl="0" w:tplc="D83E6DE4">
      <w:start w:val="1"/>
      <w:numFmt w:val="ordinal"/>
      <w:pStyle w:val="nabrajanjebold1"/>
      <w:lvlText w:val="%1"/>
      <w:lvlJc w:val="left"/>
      <w:pPr>
        <w:tabs>
          <w:tab w:val="num" w:pos="454"/>
        </w:tabs>
        <w:ind w:left="454" w:hanging="454"/>
      </w:pPr>
      <w:rPr>
        <w:rFonts w:ascii="Times New Roman" w:hAnsi="Times New Roman" w:cs="Times New Roman" w:hint="default"/>
        <w:b/>
        <w:i w:val="0"/>
        <w:sz w:val="20"/>
        <w:szCs w:val="2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3" w15:restartNumberingAfterBreak="0">
    <w:nsid w:val="402472AB"/>
    <w:multiLevelType w:val="hybridMultilevel"/>
    <w:tmpl w:val="8FE4B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09F6507"/>
    <w:multiLevelType w:val="hybridMultilevel"/>
    <w:tmpl w:val="0178BB34"/>
    <w:lvl w:ilvl="0" w:tplc="A36856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5060E8"/>
    <w:multiLevelType w:val="hybridMultilevel"/>
    <w:tmpl w:val="0C00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17B5A83"/>
    <w:multiLevelType w:val="hybridMultilevel"/>
    <w:tmpl w:val="51CE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072536"/>
    <w:multiLevelType w:val="hybridMultilevel"/>
    <w:tmpl w:val="B71EA0A0"/>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38E7222"/>
    <w:multiLevelType w:val="multilevel"/>
    <w:tmpl w:val="9AD2E418"/>
    <w:lvl w:ilvl="0">
      <w:start w:val="1"/>
      <w:numFmt w:val="bullet"/>
      <w:lvlText w:val=""/>
      <w:lvlJc w:val="left"/>
      <w:pPr>
        <w:tabs>
          <w:tab w:val="num" w:pos="720"/>
        </w:tabs>
        <w:ind w:left="720" w:hanging="360"/>
      </w:pPr>
      <w:rPr>
        <w:rFonts w:ascii="Symbol" w:hAnsi="Symbol" w:cs="OpenSymbol;Arial Unicode MS" w:hint="default"/>
        <w:caps w:val="0"/>
        <w:smallCaps w:val="0"/>
        <w:color w:val="000000"/>
        <w:spacing w:val="0"/>
        <w:sz w:val="24"/>
        <w:szCs w:val="24"/>
        <w:lang w:val="hr-HR" w:eastAsia="zh-CN" w:bidi="ar-SA"/>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caps w:val="0"/>
        <w:smallCaps w:val="0"/>
        <w:color w:val="000000"/>
        <w:spacing w:val="0"/>
        <w:sz w:val="24"/>
        <w:szCs w:val="24"/>
        <w:lang w:val="hr-HR" w:eastAsia="zh-CN" w:bidi="ar-SA"/>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caps w:val="0"/>
        <w:smallCaps w:val="0"/>
        <w:color w:val="000000"/>
        <w:spacing w:val="0"/>
        <w:sz w:val="24"/>
        <w:szCs w:val="24"/>
        <w:lang w:val="hr-HR" w:eastAsia="zh-CN" w:bidi="ar-SA"/>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49" w15:restartNumberingAfterBreak="0">
    <w:nsid w:val="43D20414"/>
    <w:multiLevelType w:val="hybridMultilevel"/>
    <w:tmpl w:val="2D9E6450"/>
    <w:lvl w:ilvl="0" w:tplc="8BA47E6A">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C70CD3FC">
      <w:start w:val="1"/>
      <w:numFmt w:val="decimal"/>
      <w:lvlText w:val="%3."/>
      <w:lvlJc w:val="left"/>
      <w:pPr>
        <w:tabs>
          <w:tab w:val="num" w:pos="502"/>
        </w:tabs>
        <w:ind w:left="502" w:hanging="360"/>
      </w:pPr>
      <w:rPr>
        <w:color w:val="auto"/>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0" w15:restartNumberingAfterBreak="0">
    <w:nsid w:val="460B5226"/>
    <w:multiLevelType w:val="hybridMultilevel"/>
    <w:tmpl w:val="E76818C4"/>
    <w:lvl w:ilvl="0" w:tplc="58C62458">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6846C24"/>
    <w:multiLevelType w:val="hybridMultilevel"/>
    <w:tmpl w:val="3EE66674"/>
    <w:lvl w:ilvl="0" w:tplc="B8CA91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DC1666"/>
    <w:multiLevelType w:val="hybridMultilevel"/>
    <w:tmpl w:val="F29C0F72"/>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A920557"/>
    <w:multiLevelType w:val="hybridMultilevel"/>
    <w:tmpl w:val="5B1A87DE"/>
    <w:lvl w:ilvl="0" w:tplc="DD5C8BE0">
      <w:start w:val="1"/>
      <w:numFmt w:val="upperLetter"/>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4" w15:restartNumberingAfterBreak="0">
    <w:nsid w:val="4A9A3FFA"/>
    <w:multiLevelType w:val="hybridMultilevel"/>
    <w:tmpl w:val="54DC0AD2"/>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EC52D6B"/>
    <w:multiLevelType w:val="hybridMultilevel"/>
    <w:tmpl w:val="301A9F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ED03CBB"/>
    <w:multiLevelType w:val="hybridMultilevel"/>
    <w:tmpl w:val="3E5CBCD4"/>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06164F5"/>
    <w:multiLevelType w:val="hybridMultilevel"/>
    <w:tmpl w:val="309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A877EF"/>
    <w:multiLevelType w:val="hybridMultilevel"/>
    <w:tmpl w:val="C9DEF708"/>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0F7629B"/>
    <w:multiLevelType w:val="hybridMultilevel"/>
    <w:tmpl w:val="B6A683A6"/>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0" w15:restartNumberingAfterBreak="0">
    <w:nsid w:val="52A37B0C"/>
    <w:multiLevelType w:val="hybridMultilevel"/>
    <w:tmpl w:val="5714F1AC"/>
    <w:lvl w:ilvl="0" w:tplc="8DA2073E">
      <w:start w:val="9"/>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4A877F8"/>
    <w:multiLevelType w:val="hybridMultilevel"/>
    <w:tmpl w:val="BAB65554"/>
    <w:lvl w:ilvl="0" w:tplc="2D5CA7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2" w15:restartNumberingAfterBreak="0">
    <w:nsid w:val="5AC57B6A"/>
    <w:multiLevelType w:val="hybridMultilevel"/>
    <w:tmpl w:val="A84A8930"/>
    <w:lvl w:ilvl="0" w:tplc="EC2630FC">
      <w:start w:val="1"/>
      <w:numFmt w:val="lowerLetter"/>
      <w:lvlText w:val="%1)"/>
      <w:lvlJc w:val="left"/>
      <w:pPr>
        <w:tabs>
          <w:tab w:val="num" w:pos="360"/>
        </w:tabs>
        <w:ind w:left="360" w:hanging="360"/>
      </w:pPr>
      <w:rPr>
        <w:b/>
      </w:rPr>
    </w:lvl>
    <w:lvl w:ilvl="1" w:tplc="041A0019">
      <w:start w:val="1"/>
      <w:numFmt w:val="decimal"/>
      <w:lvlText w:val="%2."/>
      <w:lvlJc w:val="left"/>
      <w:pPr>
        <w:tabs>
          <w:tab w:val="num" w:pos="786"/>
        </w:tabs>
        <w:ind w:left="786"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3" w15:restartNumberingAfterBreak="0">
    <w:nsid w:val="5BB45618"/>
    <w:multiLevelType w:val="hybridMultilevel"/>
    <w:tmpl w:val="E990CA7A"/>
    <w:lvl w:ilvl="0" w:tplc="FED25C50">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4" w15:restartNumberingAfterBreak="0">
    <w:nsid w:val="5D304ACC"/>
    <w:multiLevelType w:val="hybridMultilevel"/>
    <w:tmpl w:val="67AC915A"/>
    <w:lvl w:ilvl="0" w:tplc="2C1226B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104B3F"/>
    <w:multiLevelType w:val="hybridMultilevel"/>
    <w:tmpl w:val="C9D44C0A"/>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0B0109C"/>
    <w:multiLevelType w:val="hybridMultilevel"/>
    <w:tmpl w:val="DCE8716E"/>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1814F15"/>
    <w:multiLevelType w:val="hybridMultilevel"/>
    <w:tmpl w:val="5750F960"/>
    <w:lvl w:ilvl="0" w:tplc="DE9477C6">
      <w:start w:val="1"/>
      <w:numFmt w:val="bullet"/>
      <w:pStyle w:val="nabrajanje0"/>
      <w:lvlText w:val=""/>
      <w:lvlJc w:val="left"/>
      <w:pPr>
        <w:tabs>
          <w:tab w:val="num" w:pos="567"/>
        </w:tabs>
        <w:ind w:left="567" w:hanging="17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6305009A"/>
    <w:multiLevelType w:val="hybridMultilevel"/>
    <w:tmpl w:val="8CB2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EE2444"/>
    <w:multiLevelType w:val="hybridMultilevel"/>
    <w:tmpl w:val="B71EA0A0"/>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D801816"/>
    <w:multiLevelType w:val="hybridMultilevel"/>
    <w:tmpl w:val="5CB60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DE24B7F"/>
    <w:multiLevelType w:val="hybridMultilevel"/>
    <w:tmpl w:val="6F72F5D6"/>
    <w:lvl w:ilvl="0" w:tplc="041A0017">
      <w:start w:val="3"/>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2" w15:restartNumberingAfterBreak="0">
    <w:nsid w:val="6E395DF8"/>
    <w:multiLevelType w:val="hybridMultilevel"/>
    <w:tmpl w:val="8AB26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F351C8F"/>
    <w:multiLevelType w:val="hybridMultilevel"/>
    <w:tmpl w:val="41FEFAEA"/>
    <w:lvl w:ilvl="0" w:tplc="0D34D644">
      <w:start w:val="1"/>
      <w:numFmt w:val="bullet"/>
      <w:pStyle w:val="nabrajanjeskockicamasuvlakom"/>
      <w:lvlText w:val=""/>
      <w:lvlJc w:val="left"/>
      <w:pPr>
        <w:tabs>
          <w:tab w:val="num" w:pos="454"/>
        </w:tabs>
        <w:ind w:left="454" w:hanging="17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4" w15:restartNumberingAfterBreak="0">
    <w:nsid w:val="6F4E4C68"/>
    <w:multiLevelType w:val="hybridMultilevel"/>
    <w:tmpl w:val="DD4AFE12"/>
    <w:lvl w:ilvl="0" w:tplc="A7B42D4E">
      <w:start w:val="1"/>
      <w:numFmt w:val="decimal"/>
      <w:lvlText w:val="%1."/>
      <w:lvlJc w:val="left"/>
      <w:pPr>
        <w:tabs>
          <w:tab w:val="num" w:pos="360"/>
        </w:tabs>
        <w:ind w:left="36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5" w15:restartNumberingAfterBreak="0">
    <w:nsid w:val="6F567488"/>
    <w:multiLevelType w:val="hybridMultilevel"/>
    <w:tmpl w:val="98102138"/>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2FA373E"/>
    <w:multiLevelType w:val="hybridMultilevel"/>
    <w:tmpl w:val="17962F58"/>
    <w:lvl w:ilvl="0" w:tplc="296EB0FC">
      <w:start w:val="1"/>
      <w:numFmt w:val="upperLetter"/>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7" w15:restartNumberingAfterBreak="0">
    <w:nsid w:val="73AA1875"/>
    <w:multiLevelType w:val="hybridMultilevel"/>
    <w:tmpl w:val="30FA4F52"/>
    <w:lvl w:ilvl="0" w:tplc="C4A0B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BC4FEA"/>
    <w:multiLevelType w:val="hybridMultilevel"/>
    <w:tmpl w:val="08F4FAF0"/>
    <w:lvl w:ilvl="0" w:tplc="0D34D644">
      <w:start w:val="1"/>
      <w:numFmt w:val="decimal"/>
      <w:pStyle w:val="lanak"/>
      <w:lvlText w:val="Članak %1."/>
      <w:lvlJc w:val="center"/>
      <w:pPr>
        <w:tabs>
          <w:tab w:val="num" w:pos="4973"/>
        </w:tabs>
        <w:ind w:left="4253" w:firstLine="0"/>
      </w:pPr>
      <w:rPr>
        <w:rFonts w:ascii="Arial" w:hAnsi="Arial" w:cs="Times New Roman" w:hint="default"/>
        <w:b/>
        <w:i w:val="0"/>
        <w:sz w:val="20"/>
      </w:rPr>
    </w:lvl>
    <w:lvl w:ilvl="1" w:tplc="041A0019">
      <w:start w:val="1"/>
      <w:numFmt w:val="bullet"/>
      <w:lvlText w:val="-"/>
      <w:lvlJc w:val="left"/>
      <w:pPr>
        <w:tabs>
          <w:tab w:val="num" w:pos="1440"/>
        </w:tabs>
        <w:ind w:left="1421" w:hanging="341"/>
      </w:pPr>
      <w:rPr>
        <w:rFonts w:ascii="Times New Roman" w:hAnsi="Times New Roman" w:cs="Times New Roman" w:hint="default"/>
      </w:rPr>
    </w:lvl>
    <w:lvl w:ilvl="2" w:tplc="041A001B">
      <w:start w:val="12"/>
      <w:numFmt w:val="bullet"/>
      <w:lvlText w:val=""/>
      <w:lvlJc w:val="left"/>
      <w:pPr>
        <w:tabs>
          <w:tab w:val="num" w:pos="2685"/>
        </w:tabs>
        <w:ind w:left="2685" w:hanging="705"/>
      </w:pPr>
      <w:rPr>
        <w:rFonts w:ascii="Symbol" w:eastAsia="Times New Roman" w:hAnsi="Symbol" w:cs="Times New Roman" w:hint="default"/>
      </w:rPr>
    </w:lvl>
    <w:lvl w:ilvl="3" w:tplc="041A000F">
      <w:start w:val="15"/>
      <w:numFmt w:val="decimal"/>
      <w:lvlText w:val="%4)"/>
      <w:lvlJc w:val="left"/>
      <w:pPr>
        <w:tabs>
          <w:tab w:val="num" w:pos="2940"/>
        </w:tabs>
        <w:ind w:left="2940" w:hanging="42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9" w15:restartNumberingAfterBreak="0">
    <w:nsid w:val="75DE06F3"/>
    <w:multiLevelType w:val="hybridMultilevel"/>
    <w:tmpl w:val="6E8EBF94"/>
    <w:lvl w:ilvl="0" w:tplc="4DD417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6BE2897"/>
    <w:multiLevelType w:val="hybridMultilevel"/>
    <w:tmpl w:val="A8F2FD1A"/>
    <w:lvl w:ilvl="0" w:tplc="57EA0FF0">
      <w:start w:val="1"/>
      <w:numFmt w:val="upperRoman"/>
      <w:lvlText w:val="%1."/>
      <w:lvlJc w:val="left"/>
      <w:pPr>
        <w:ind w:left="720" w:hanging="72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81" w15:restartNumberingAfterBreak="0">
    <w:nsid w:val="7A183D7A"/>
    <w:multiLevelType w:val="hybridMultilevel"/>
    <w:tmpl w:val="B12C61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D655415"/>
    <w:multiLevelType w:val="hybridMultilevel"/>
    <w:tmpl w:val="B4745E9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3" w15:restartNumberingAfterBreak="0">
    <w:nsid w:val="7D840BC0"/>
    <w:multiLevelType w:val="hybridMultilevel"/>
    <w:tmpl w:val="0F5699E4"/>
    <w:lvl w:ilvl="0" w:tplc="109EFA0A">
      <w:start w:val="1"/>
      <w:numFmt w:val="bullet"/>
      <w:pStyle w:val="uvlaka0"/>
      <w:lvlText w:val=""/>
      <w:lvlJc w:val="left"/>
      <w:pPr>
        <w:tabs>
          <w:tab w:val="num" w:pos="720"/>
        </w:tabs>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4" w15:restartNumberingAfterBreak="0">
    <w:nsid w:val="7FF2352A"/>
    <w:multiLevelType w:val="multilevel"/>
    <w:tmpl w:val="867A9E68"/>
    <w:lvl w:ilvl="0">
      <w:start w:val="1"/>
      <w:numFmt w:val="bullet"/>
      <w:lvlText w:val=""/>
      <w:lvlJc w:val="left"/>
      <w:pPr>
        <w:tabs>
          <w:tab w:val="num" w:pos="1428"/>
        </w:tabs>
        <w:ind w:left="1428" w:hanging="360"/>
      </w:pPr>
      <w:rPr>
        <w:rFonts w:ascii="Symbol" w:hAnsi="Symbol" w:cs="OpenSymbol" w:hint="default"/>
        <w:sz w:val="24"/>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Open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Open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8"/>
    <w:lvlOverride w:ilvl="0">
      <w:startOverride w:val="1"/>
    </w:lvlOverride>
    <w:lvlOverride w:ilvl="1"/>
    <w:lvlOverride w:ilvl="2"/>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num>
  <w:num w:numId="12">
    <w:abstractNumId w:val="33"/>
  </w:num>
  <w:num w:numId="13">
    <w:abstractNumId w:val="60"/>
  </w:num>
  <w:num w:numId="14">
    <w:abstractNumId w:val="15"/>
  </w:num>
  <w:num w:numId="15">
    <w:abstractNumId w:val="22"/>
  </w:num>
  <w:num w:numId="16">
    <w:abstractNumId w:val="40"/>
  </w:num>
  <w:num w:numId="17">
    <w:abstractNumId w:val="29"/>
  </w:num>
  <w:num w:numId="18">
    <w:abstractNumId w:val="44"/>
  </w:num>
  <w:num w:numId="19">
    <w:abstractNumId w:val="26"/>
  </w:num>
  <w:num w:numId="20">
    <w:abstractNumId w:val="57"/>
  </w:num>
  <w:num w:numId="21">
    <w:abstractNumId w:val="37"/>
  </w:num>
  <w:num w:numId="22">
    <w:abstractNumId w:val="31"/>
  </w:num>
  <w:num w:numId="23">
    <w:abstractNumId w:val="36"/>
  </w:num>
  <w:num w:numId="24">
    <w:abstractNumId w:val="28"/>
  </w:num>
  <w:num w:numId="25">
    <w:abstractNumId w:val="41"/>
  </w:num>
  <w:num w:numId="26">
    <w:abstractNumId w:val="43"/>
  </w:num>
  <w:num w:numId="27">
    <w:abstractNumId w:val="72"/>
  </w:num>
  <w:num w:numId="28">
    <w:abstractNumId w:val="17"/>
  </w:num>
  <w:num w:numId="29">
    <w:abstractNumId w:val="45"/>
  </w:num>
  <w:num w:numId="30">
    <w:abstractNumId w:val="46"/>
  </w:num>
  <w:num w:numId="31">
    <w:abstractNumId w:val="55"/>
  </w:num>
  <w:num w:numId="32">
    <w:abstractNumId w:val="68"/>
  </w:num>
  <w:num w:numId="33">
    <w:abstractNumId w:val="51"/>
  </w:num>
  <w:num w:numId="34">
    <w:abstractNumId w:val="77"/>
  </w:num>
  <w:num w:numId="35">
    <w:abstractNumId w:val="64"/>
  </w:num>
  <w:num w:numId="3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num>
  <w:num w:numId="3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25"/>
  </w:num>
  <w:num w:numId="48">
    <w:abstractNumId w:val="84"/>
  </w:num>
  <w:num w:numId="49">
    <w:abstractNumId w:val="2"/>
  </w:num>
  <w:num w:numId="50">
    <w:abstractNumId w:val="3"/>
  </w:num>
  <w:num w:numId="51">
    <w:abstractNumId w:val="5"/>
  </w:num>
  <w:num w:numId="52">
    <w:abstractNumId w:val="6"/>
  </w:num>
  <w:num w:numId="53">
    <w:abstractNumId w:val="7"/>
  </w:num>
  <w:num w:numId="54">
    <w:abstractNumId w:val="8"/>
  </w:num>
  <w:num w:numId="55">
    <w:abstractNumId w:val="9"/>
  </w:num>
  <w:num w:numId="56">
    <w:abstractNumId w:val="10"/>
  </w:num>
  <w:num w:numId="57">
    <w:abstractNumId w:val="11"/>
  </w:num>
  <w:num w:numId="58">
    <w:abstractNumId w:val="63"/>
  </w:num>
  <w:num w:numId="59">
    <w:abstractNumId w:val="30"/>
  </w:num>
  <w:num w:numId="60">
    <w:abstractNumId w:val="70"/>
  </w:num>
  <w:num w:numId="61">
    <w:abstractNumId w:val="27"/>
  </w:num>
  <w:num w:numId="62">
    <w:abstractNumId w:val="81"/>
  </w:num>
  <w:num w:numId="63">
    <w:abstractNumId w:val="34"/>
  </w:num>
  <w:num w:numId="64">
    <w:abstractNumId w:val="23"/>
  </w:num>
  <w:num w:numId="65">
    <w:abstractNumId w:val="61"/>
  </w:num>
  <w:num w:numId="66">
    <w:abstractNumId w:val="82"/>
  </w:num>
  <w:num w:numId="67">
    <w:abstractNumId w:val="32"/>
  </w:num>
  <w:num w:numId="68">
    <w:abstractNumId w:val="59"/>
  </w:num>
  <w:num w:numId="69">
    <w:abstractNumId w:val="47"/>
  </w:num>
  <w:num w:numId="70">
    <w:abstractNumId w:val="69"/>
  </w:num>
  <w:num w:numId="71">
    <w:abstractNumId w:val="56"/>
  </w:num>
  <w:num w:numId="72">
    <w:abstractNumId w:val="65"/>
  </w:num>
  <w:num w:numId="73">
    <w:abstractNumId w:val="13"/>
  </w:num>
  <w:num w:numId="74">
    <w:abstractNumId w:val="12"/>
  </w:num>
  <w:num w:numId="75">
    <w:abstractNumId w:val="54"/>
  </w:num>
  <w:num w:numId="76">
    <w:abstractNumId w:val="75"/>
  </w:num>
  <w:num w:numId="77">
    <w:abstractNumId w:val="24"/>
  </w:num>
  <w:num w:numId="78">
    <w:abstractNumId w:val="52"/>
  </w:num>
  <w:num w:numId="79">
    <w:abstractNumId w:val="35"/>
  </w:num>
  <w:num w:numId="80">
    <w:abstractNumId w:val="58"/>
  </w:num>
  <w:num w:numId="81">
    <w:abstractNumId w:val="66"/>
  </w:num>
  <w:num w:numId="82">
    <w:abstractNumId w:val="7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9C"/>
    <w:rsid w:val="0000008F"/>
    <w:rsid w:val="0000228F"/>
    <w:rsid w:val="000045B0"/>
    <w:rsid w:val="000047C3"/>
    <w:rsid w:val="00005261"/>
    <w:rsid w:val="000056B3"/>
    <w:rsid w:val="00005BB6"/>
    <w:rsid w:val="00006B13"/>
    <w:rsid w:val="000070B7"/>
    <w:rsid w:val="00007134"/>
    <w:rsid w:val="0000773F"/>
    <w:rsid w:val="00007A11"/>
    <w:rsid w:val="00007A67"/>
    <w:rsid w:val="000104EA"/>
    <w:rsid w:val="00010680"/>
    <w:rsid w:val="00010722"/>
    <w:rsid w:val="0001099F"/>
    <w:rsid w:val="00010A18"/>
    <w:rsid w:val="00011641"/>
    <w:rsid w:val="0001168B"/>
    <w:rsid w:val="000118A5"/>
    <w:rsid w:val="00011C72"/>
    <w:rsid w:val="00012100"/>
    <w:rsid w:val="00012D4D"/>
    <w:rsid w:val="00014246"/>
    <w:rsid w:val="00014455"/>
    <w:rsid w:val="00015BAE"/>
    <w:rsid w:val="00015D79"/>
    <w:rsid w:val="000166B9"/>
    <w:rsid w:val="0001782C"/>
    <w:rsid w:val="00020A5F"/>
    <w:rsid w:val="00020AE4"/>
    <w:rsid w:val="00021585"/>
    <w:rsid w:val="00023099"/>
    <w:rsid w:val="000235C8"/>
    <w:rsid w:val="00023AD6"/>
    <w:rsid w:val="000241A9"/>
    <w:rsid w:val="000249BE"/>
    <w:rsid w:val="00025C6C"/>
    <w:rsid w:val="00026E84"/>
    <w:rsid w:val="00027153"/>
    <w:rsid w:val="000271B7"/>
    <w:rsid w:val="000306BC"/>
    <w:rsid w:val="0003070F"/>
    <w:rsid w:val="00030747"/>
    <w:rsid w:val="000343FB"/>
    <w:rsid w:val="00034788"/>
    <w:rsid w:val="00036ACD"/>
    <w:rsid w:val="00037D6C"/>
    <w:rsid w:val="00041229"/>
    <w:rsid w:val="00041639"/>
    <w:rsid w:val="000424FD"/>
    <w:rsid w:val="00042679"/>
    <w:rsid w:val="00042C86"/>
    <w:rsid w:val="0004397B"/>
    <w:rsid w:val="00043B19"/>
    <w:rsid w:val="000440E0"/>
    <w:rsid w:val="00046A82"/>
    <w:rsid w:val="000475D2"/>
    <w:rsid w:val="000500DE"/>
    <w:rsid w:val="00050267"/>
    <w:rsid w:val="000514D4"/>
    <w:rsid w:val="000527AC"/>
    <w:rsid w:val="000528ED"/>
    <w:rsid w:val="00052B12"/>
    <w:rsid w:val="00052C57"/>
    <w:rsid w:val="00053E0F"/>
    <w:rsid w:val="00054344"/>
    <w:rsid w:val="0005497C"/>
    <w:rsid w:val="00054B92"/>
    <w:rsid w:val="0005587A"/>
    <w:rsid w:val="00055B39"/>
    <w:rsid w:val="00055E2C"/>
    <w:rsid w:val="0005604C"/>
    <w:rsid w:val="000569BA"/>
    <w:rsid w:val="00056AF7"/>
    <w:rsid w:val="00057023"/>
    <w:rsid w:val="0005761B"/>
    <w:rsid w:val="000615C7"/>
    <w:rsid w:val="00061B54"/>
    <w:rsid w:val="00062818"/>
    <w:rsid w:val="00062B3C"/>
    <w:rsid w:val="00063318"/>
    <w:rsid w:val="00063573"/>
    <w:rsid w:val="00064327"/>
    <w:rsid w:val="00065CC7"/>
    <w:rsid w:val="0006624C"/>
    <w:rsid w:val="0006638D"/>
    <w:rsid w:val="000674A4"/>
    <w:rsid w:val="00070560"/>
    <w:rsid w:val="00070C86"/>
    <w:rsid w:val="00070FCE"/>
    <w:rsid w:val="00072CA9"/>
    <w:rsid w:val="000730C5"/>
    <w:rsid w:val="000733B9"/>
    <w:rsid w:val="00073BBB"/>
    <w:rsid w:val="0007516C"/>
    <w:rsid w:val="00076CA9"/>
    <w:rsid w:val="00077127"/>
    <w:rsid w:val="00080023"/>
    <w:rsid w:val="00080799"/>
    <w:rsid w:val="0008205A"/>
    <w:rsid w:val="00083030"/>
    <w:rsid w:val="0008580E"/>
    <w:rsid w:val="00085BFC"/>
    <w:rsid w:val="00085D0B"/>
    <w:rsid w:val="00086C5F"/>
    <w:rsid w:val="00087390"/>
    <w:rsid w:val="00087E1C"/>
    <w:rsid w:val="00090539"/>
    <w:rsid w:val="000911DB"/>
    <w:rsid w:val="00091EEA"/>
    <w:rsid w:val="00091FE0"/>
    <w:rsid w:val="00092600"/>
    <w:rsid w:val="00093162"/>
    <w:rsid w:val="00093A1B"/>
    <w:rsid w:val="00094333"/>
    <w:rsid w:val="000945EB"/>
    <w:rsid w:val="00094B10"/>
    <w:rsid w:val="00095240"/>
    <w:rsid w:val="00096D5D"/>
    <w:rsid w:val="0009725D"/>
    <w:rsid w:val="000A0E29"/>
    <w:rsid w:val="000A152F"/>
    <w:rsid w:val="000A174C"/>
    <w:rsid w:val="000A1DD9"/>
    <w:rsid w:val="000A1F8F"/>
    <w:rsid w:val="000A289F"/>
    <w:rsid w:val="000A2982"/>
    <w:rsid w:val="000A3369"/>
    <w:rsid w:val="000A3FDD"/>
    <w:rsid w:val="000A4737"/>
    <w:rsid w:val="000A6304"/>
    <w:rsid w:val="000A6DC7"/>
    <w:rsid w:val="000A75B0"/>
    <w:rsid w:val="000A7FE9"/>
    <w:rsid w:val="000B062D"/>
    <w:rsid w:val="000B19DB"/>
    <w:rsid w:val="000B487C"/>
    <w:rsid w:val="000B48BB"/>
    <w:rsid w:val="000B4EA0"/>
    <w:rsid w:val="000B5056"/>
    <w:rsid w:val="000B50D7"/>
    <w:rsid w:val="000B56DE"/>
    <w:rsid w:val="000B678F"/>
    <w:rsid w:val="000B723F"/>
    <w:rsid w:val="000B7EED"/>
    <w:rsid w:val="000C01B2"/>
    <w:rsid w:val="000C151A"/>
    <w:rsid w:val="000C1D85"/>
    <w:rsid w:val="000C1DA2"/>
    <w:rsid w:val="000C2041"/>
    <w:rsid w:val="000C4012"/>
    <w:rsid w:val="000C4092"/>
    <w:rsid w:val="000C440B"/>
    <w:rsid w:val="000C45E6"/>
    <w:rsid w:val="000C46C2"/>
    <w:rsid w:val="000C514A"/>
    <w:rsid w:val="000C562B"/>
    <w:rsid w:val="000C64EF"/>
    <w:rsid w:val="000D09B5"/>
    <w:rsid w:val="000D1964"/>
    <w:rsid w:val="000D19F7"/>
    <w:rsid w:val="000D2536"/>
    <w:rsid w:val="000D2998"/>
    <w:rsid w:val="000D4681"/>
    <w:rsid w:val="000D7C7C"/>
    <w:rsid w:val="000E0879"/>
    <w:rsid w:val="000E0B89"/>
    <w:rsid w:val="000E13EC"/>
    <w:rsid w:val="000E15BF"/>
    <w:rsid w:val="000E17E6"/>
    <w:rsid w:val="000E3B41"/>
    <w:rsid w:val="000E4D40"/>
    <w:rsid w:val="000E59EC"/>
    <w:rsid w:val="000E6551"/>
    <w:rsid w:val="000E7975"/>
    <w:rsid w:val="000E7A14"/>
    <w:rsid w:val="000E7A9A"/>
    <w:rsid w:val="000E7B57"/>
    <w:rsid w:val="000F0020"/>
    <w:rsid w:val="000F07C4"/>
    <w:rsid w:val="000F0F30"/>
    <w:rsid w:val="000F111E"/>
    <w:rsid w:val="000F1231"/>
    <w:rsid w:val="000F28F6"/>
    <w:rsid w:val="000F2A54"/>
    <w:rsid w:val="000F37B0"/>
    <w:rsid w:val="000F3ADF"/>
    <w:rsid w:val="000F3E77"/>
    <w:rsid w:val="000F40F9"/>
    <w:rsid w:val="000F4D43"/>
    <w:rsid w:val="000F4F2C"/>
    <w:rsid w:val="000F5DA4"/>
    <w:rsid w:val="000F6287"/>
    <w:rsid w:val="000F6549"/>
    <w:rsid w:val="000F6945"/>
    <w:rsid w:val="000F6FD6"/>
    <w:rsid w:val="00103C28"/>
    <w:rsid w:val="00103C62"/>
    <w:rsid w:val="00103CE1"/>
    <w:rsid w:val="0010477F"/>
    <w:rsid w:val="00105605"/>
    <w:rsid w:val="00105D83"/>
    <w:rsid w:val="0010775C"/>
    <w:rsid w:val="001107C2"/>
    <w:rsid w:val="001112B7"/>
    <w:rsid w:val="00112065"/>
    <w:rsid w:val="00112754"/>
    <w:rsid w:val="001128A3"/>
    <w:rsid w:val="00112B91"/>
    <w:rsid w:val="00112E4A"/>
    <w:rsid w:val="00112F20"/>
    <w:rsid w:val="00115973"/>
    <w:rsid w:val="00115E30"/>
    <w:rsid w:val="00116003"/>
    <w:rsid w:val="0011666E"/>
    <w:rsid w:val="0011671D"/>
    <w:rsid w:val="0011716A"/>
    <w:rsid w:val="00120592"/>
    <w:rsid w:val="0012086A"/>
    <w:rsid w:val="00120F2D"/>
    <w:rsid w:val="00121907"/>
    <w:rsid w:val="0012270C"/>
    <w:rsid w:val="0012271A"/>
    <w:rsid w:val="001247FB"/>
    <w:rsid w:val="00125659"/>
    <w:rsid w:val="001261A7"/>
    <w:rsid w:val="0012666F"/>
    <w:rsid w:val="0012708F"/>
    <w:rsid w:val="001312A2"/>
    <w:rsid w:val="00132401"/>
    <w:rsid w:val="0013260A"/>
    <w:rsid w:val="001329CB"/>
    <w:rsid w:val="00132BAA"/>
    <w:rsid w:val="00132BCB"/>
    <w:rsid w:val="00134A4D"/>
    <w:rsid w:val="00134EAC"/>
    <w:rsid w:val="001367B5"/>
    <w:rsid w:val="00137538"/>
    <w:rsid w:val="00137628"/>
    <w:rsid w:val="00140015"/>
    <w:rsid w:val="00140427"/>
    <w:rsid w:val="00141331"/>
    <w:rsid w:val="001415F3"/>
    <w:rsid w:val="00141AC1"/>
    <w:rsid w:val="0014461F"/>
    <w:rsid w:val="00144F3B"/>
    <w:rsid w:val="00146C89"/>
    <w:rsid w:val="001474D6"/>
    <w:rsid w:val="00147572"/>
    <w:rsid w:val="001478DC"/>
    <w:rsid w:val="0015054E"/>
    <w:rsid w:val="00150D65"/>
    <w:rsid w:val="0015328A"/>
    <w:rsid w:val="00153461"/>
    <w:rsid w:val="001569FF"/>
    <w:rsid w:val="00156C8A"/>
    <w:rsid w:val="001571FF"/>
    <w:rsid w:val="00157674"/>
    <w:rsid w:val="00157841"/>
    <w:rsid w:val="00157CF0"/>
    <w:rsid w:val="00161A3F"/>
    <w:rsid w:val="00161C77"/>
    <w:rsid w:val="00162987"/>
    <w:rsid w:val="001634C8"/>
    <w:rsid w:val="0016353D"/>
    <w:rsid w:val="001647A5"/>
    <w:rsid w:val="00164864"/>
    <w:rsid w:val="00164E65"/>
    <w:rsid w:val="00165A15"/>
    <w:rsid w:val="00166830"/>
    <w:rsid w:val="00171E2A"/>
    <w:rsid w:val="00171E7A"/>
    <w:rsid w:val="001737B2"/>
    <w:rsid w:val="001748BA"/>
    <w:rsid w:val="00174C22"/>
    <w:rsid w:val="00174EA4"/>
    <w:rsid w:val="0017560F"/>
    <w:rsid w:val="001757DD"/>
    <w:rsid w:val="00175F78"/>
    <w:rsid w:val="001769EF"/>
    <w:rsid w:val="00176EF4"/>
    <w:rsid w:val="00177A4D"/>
    <w:rsid w:val="00177D45"/>
    <w:rsid w:val="00180584"/>
    <w:rsid w:val="00180F84"/>
    <w:rsid w:val="00181749"/>
    <w:rsid w:val="00182021"/>
    <w:rsid w:val="00182230"/>
    <w:rsid w:val="00183212"/>
    <w:rsid w:val="00184683"/>
    <w:rsid w:val="00184E33"/>
    <w:rsid w:val="00185B0C"/>
    <w:rsid w:val="00185FE8"/>
    <w:rsid w:val="00186878"/>
    <w:rsid w:val="00187C30"/>
    <w:rsid w:val="001903FE"/>
    <w:rsid w:val="001908ED"/>
    <w:rsid w:val="001916CF"/>
    <w:rsid w:val="0019203F"/>
    <w:rsid w:val="001943B9"/>
    <w:rsid w:val="00194E45"/>
    <w:rsid w:val="00194FB8"/>
    <w:rsid w:val="00195340"/>
    <w:rsid w:val="00196F74"/>
    <w:rsid w:val="001970A8"/>
    <w:rsid w:val="00197217"/>
    <w:rsid w:val="001A18E5"/>
    <w:rsid w:val="001A4075"/>
    <w:rsid w:val="001A488C"/>
    <w:rsid w:val="001A539D"/>
    <w:rsid w:val="001A72E1"/>
    <w:rsid w:val="001B01C8"/>
    <w:rsid w:val="001B0E0F"/>
    <w:rsid w:val="001B0FE9"/>
    <w:rsid w:val="001B1446"/>
    <w:rsid w:val="001B19E6"/>
    <w:rsid w:val="001B2C9A"/>
    <w:rsid w:val="001B39F4"/>
    <w:rsid w:val="001B3AA5"/>
    <w:rsid w:val="001B4BAD"/>
    <w:rsid w:val="001B6530"/>
    <w:rsid w:val="001C02D6"/>
    <w:rsid w:val="001C0815"/>
    <w:rsid w:val="001C0B81"/>
    <w:rsid w:val="001C2636"/>
    <w:rsid w:val="001C3D24"/>
    <w:rsid w:val="001C3EF6"/>
    <w:rsid w:val="001C47A1"/>
    <w:rsid w:val="001C4B2B"/>
    <w:rsid w:val="001C4EB4"/>
    <w:rsid w:val="001C53C3"/>
    <w:rsid w:val="001C58BA"/>
    <w:rsid w:val="001C5A5D"/>
    <w:rsid w:val="001C6919"/>
    <w:rsid w:val="001C71C6"/>
    <w:rsid w:val="001C7FA3"/>
    <w:rsid w:val="001D03D7"/>
    <w:rsid w:val="001D096B"/>
    <w:rsid w:val="001D0BEE"/>
    <w:rsid w:val="001D0DB7"/>
    <w:rsid w:val="001D0FDC"/>
    <w:rsid w:val="001D1C48"/>
    <w:rsid w:val="001D23AC"/>
    <w:rsid w:val="001D39C1"/>
    <w:rsid w:val="001D3AFD"/>
    <w:rsid w:val="001D3F54"/>
    <w:rsid w:val="001D4140"/>
    <w:rsid w:val="001D4C3A"/>
    <w:rsid w:val="001D5433"/>
    <w:rsid w:val="001D5EAC"/>
    <w:rsid w:val="001D6218"/>
    <w:rsid w:val="001D6C0D"/>
    <w:rsid w:val="001D73E2"/>
    <w:rsid w:val="001E1214"/>
    <w:rsid w:val="001E1ADC"/>
    <w:rsid w:val="001E1CA4"/>
    <w:rsid w:val="001E46F6"/>
    <w:rsid w:val="001E560E"/>
    <w:rsid w:val="001E7848"/>
    <w:rsid w:val="001F0075"/>
    <w:rsid w:val="001F1011"/>
    <w:rsid w:val="001F255F"/>
    <w:rsid w:val="001F2C43"/>
    <w:rsid w:val="001F35CB"/>
    <w:rsid w:val="001F4082"/>
    <w:rsid w:val="001F4471"/>
    <w:rsid w:val="001F47A8"/>
    <w:rsid w:val="001F54ED"/>
    <w:rsid w:val="001F5E72"/>
    <w:rsid w:val="001F643B"/>
    <w:rsid w:val="001F6744"/>
    <w:rsid w:val="001F6F69"/>
    <w:rsid w:val="002001A3"/>
    <w:rsid w:val="002002C8"/>
    <w:rsid w:val="002013CD"/>
    <w:rsid w:val="00202168"/>
    <w:rsid w:val="0020315E"/>
    <w:rsid w:val="0020364C"/>
    <w:rsid w:val="002055BC"/>
    <w:rsid w:val="002057CB"/>
    <w:rsid w:val="002118CC"/>
    <w:rsid w:val="00211A05"/>
    <w:rsid w:val="00213059"/>
    <w:rsid w:val="002134DC"/>
    <w:rsid w:val="002138F7"/>
    <w:rsid w:val="00213B24"/>
    <w:rsid w:val="00214025"/>
    <w:rsid w:val="00214403"/>
    <w:rsid w:val="002145E1"/>
    <w:rsid w:val="002149CD"/>
    <w:rsid w:val="00214EE9"/>
    <w:rsid w:val="002150D3"/>
    <w:rsid w:val="00215862"/>
    <w:rsid w:val="00216698"/>
    <w:rsid w:val="00216E42"/>
    <w:rsid w:val="0021706E"/>
    <w:rsid w:val="002174BB"/>
    <w:rsid w:val="00217550"/>
    <w:rsid w:val="00220DE3"/>
    <w:rsid w:val="002221FF"/>
    <w:rsid w:val="00224019"/>
    <w:rsid w:val="00224A7F"/>
    <w:rsid w:val="00224D55"/>
    <w:rsid w:val="00224F71"/>
    <w:rsid w:val="002253A4"/>
    <w:rsid w:val="00225C1E"/>
    <w:rsid w:val="00226357"/>
    <w:rsid w:val="0022651C"/>
    <w:rsid w:val="00226C0C"/>
    <w:rsid w:val="002272FA"/>
    <w:rsid w:val="002313DD"/>
    <w:rsid w:val="00231649"/>
    <w:rsid w:val="00232011"/>
    <w:rsid w:val="002321C3"/>
    <w:rsid w:val="0023264A"/>
    <w:rsid w:val="00232C28"/>
    <w:rsid w:val="0023317D"/>
    <w:rsid w:val="002333C9"/>
    <w:rsid w:val="00233636"/>
    <w:rsid w:val="00233779"/>
    <w:rsid w:val="00233DF8"/>
    <w:rsid w:val="00234815"/>
    <w:rsid w:val="0023482C"/>
    <w:rsid w:val="00234B39"/>
    <w:rsid w:val="00234D70"/>
    <w:rsid w:val="00235840"/>
    <w:rsid w:val="00235C79"/>
    <w:rsid w:val="00235F6F"/>
    <w:rsid w:val="00235FF7"/>
    <w:rsid w:val="00236837"/>
    <w:rsid w:val="002368B3"/>
    <w:rsid w:val="00236A20"/>
    <w:rsid w:val="00237177"/>
    <w:rsid w:val="00240245"/>
    <w:rsid w:val="00240507"/>
    <w:rsid w:val="00241051"/>
    <w:rsid w:val="002417D7"/>
    <w:rsid w:val="00241DF7"/>
    <w:rsid w:val="00242D67"/>
    <w:rsid w:val="00243CC1"/>
    <w:rsid w:val="00244876"/>
    <w:rsid w:val="0024508F"/>
    <w:rsid w:val="00245821"/>
    <w:rsid w:val="0024671B"/>
    <w:rsid w:val="00246F26"/>
    <w:rsid w:val="0024740A"/>
    <w:rsid w:val="002477E8"/>
    <w:rsid w:val="0025079B"/>
    <w:rsid w:val="00251A0A"/>
    <w:rsid w:val="00251DB8"/>
    <w:rsid w:val="00251DDD"/>
    <w:rsid w:val="00253C60"/>
    <w:rsid w:val="002553BB"/>
    <w:rsid w:val="00255B16"/>
    <w:rsid w:val="002564C3"/>
    <w:rsid w:val="00256B0A"/>
    <w:rsid w:val="00257381"/>
    <w:rsid w:val="00257712"/>
    <w:rsid w:val="00257BCE"/>
    <w:rsid w:val="0026081E"/>
    <w:rsid w:val="00260905"/>
    <w:rsid w:val="0026090E"/>
    <w:rsid w:val="00260DC3"/>
    <w:rsid w:val="00260DC9"/>
    <w:rsid w:val="00260F5C"/>
    <w:rsid w:val="0026260F"/>
    <w:rsid w:val="00263A9B"/>
    <w:rsid w:val="00263BA5"/>
    <w:rsid w:val="00263DB0"/>
    <w:rsid w:val="0026520E"/>
    <w:rsid w:val="00265675"/>
    <w:rsid w:val="00265798"/>
    <w:rsid w:val="002665DB"/>
    <w:rsid w:val="0026673A"/>
    <w:rsid w:val="00266FF3"/>
    <w:rsid w:val="00271622"/>
    <w:rsid w:val="00271F29"/>
    <w:rsid w:val="0027257F"/>
    <w:rsid w:val="002727AF"/>
    <w:rsid w:val="00274D3B"/>
    <w:rsid w:val="002751C0"/>
    <w:rsid w:val="00275EFE"/>
    <w:rsid w:val="00275F50"/>
    <w:rsid w:val="00277511"/>
    <w:rsid w:val="00280AE9"/>
    <w:rsid w:val="00280E2E"/>
    <w:rsid w:val="00281933"/>
    <w:rsid w:val="00282768"/>
    <w:rsid w:val="00282A91"/>
    <w:rsid w:val="00283849"/>
    <w:rsid w:val="002841D0"/>
    <w:rsid w:val="00284262"/>
    <w:rsid w:val="00287C8A"/>
    <w:rsid w:val="0029115F"/>
    <w:rsid w:val="00292303"/>
    <w:rsid w:val="002929DE"/>
    <w:rsid w:val="00293D2F"/>
    <w:rsid w:val="002949C0"/>
    <w:rsid w:val="00295F5A"/>
    <w:rsid w:val="00296355"/>
    <w:rsid w:val="002968CD"/>
    <w:rsid w:val="00297690"/>
    <w:rsid w:val="00297E9B"/>
    <w:rsid w:val="002A0244"/>
    <w:rsid w:val="002A0305"/>
    <w:rsid w:val="002A1245"/>
    <w:rsid w:val="002A145F"/>
    <w:rsid w:val="002A179C"/>
    <w:rsid w:val="002A1E9D"/>
    <w:rsid w:val="002A1EA1"/>
    <w:rsid w:val="002A2039"/>
    <w:rsid w:val="002A2042"/>
    <w:rsid w:val="002A24A0"/>
    <w:rsid w:val="002A458D"/>
    <w:rsid w:val="002A54BC"/>
    <w:rsid w:val="002A5B46"/>
    <w:rsid w:val="002A75AD"/>
    <w:rsid w:val="002A7EF1"/>
    <w:rsid w:val="002B0D99"/>
    <w:rsid w:val="002B0DC7"/>
    <w:rsid w:val="002B1C74"/>
    <w:rsid w:val="002B22EA"/>
    <w:rsid w:val="002B2D0F"/>
    <w:rsid w:val="002B3656"/>
    <w:rsid w:val="002B3C1E"/>
    <w:rsid w:val="002B436B"/>
    <w:rsid w:val="002B4B85"/>
    <w:rsid w:val="002B508F"/>
    <w:rsid w:val="002B54D9"/>
    <w:rsid w:val="002B55C7"/>
    <w:rsid w:val="002B693E"/>
    <w:rsid w:val="002B69D4"/>
    <w:rsid w:val="002B6B67"/>
    <w:rsid w:val="002C04A3"/>
    <w:rsid w:val="002C13A7"/>
    <w:rsid w:val="002C1CD2"/>
    <w:rsid w:val="002C2752"/>
    <w:rsid w:val="002C287B"/>
    <w:rsid w:val="002C2B22"/>
    <w:rsid w:val="002C36A5"/>
    <w:rsid w:val="002C39FB"/>
    <w:rsid w:val="002C575A"/>
    <w:rsid w:val="002C5E32"/>
    <w:rsid w:val="002C74D8"/>
    <w:rsid w:val="002C7589"/>
    <w:rsid w:val="002C77C1"/>
    <w:rsid w:val="002D0EE6"/>
    <w:rsid w:val="002D0F09"/>
    <w:rsid w:val="002D2F0E"/>
    <w:rsid w:val="002D2F16"/>
    <w:rsid w:val="002D38E9"/>
    <w:rsid w:val="002D3D2A"/>
    <w:rsid w:val="002D467F"/>
    <w:rsid w:val="002D4766"/>
    <w:rsid w:val="002D551C"/>
    <w:rsid w:val="002D5BFD"/>
    <w:rsid w:val="002D62B5"/>
    <w:rsid w:val="002D7D1B"/>
    <w:rsid w:val="002E0041"/>
    <w:rsid w:val="002E0441"/>
    <w:rsid w:val="002E0862"/>
    <w:rsid w:val="002E2AC4"/>
    <w:rsid w:val="002E4154"/>
    <w:rsid w:val="002E528E"/>
    <w:rsid w:val="002E5332"/>
    <w:rsid w:val="002E6576"/>
    <w:rsid w:val="002E6E3E"/>
    <w:rsid w:val="002F12CB"/>
    <w:rsid w:val="002F1EB7"/>
    <w:rsid w:val="002F4584"/>
    <w:rsid w:val="002F5B41"/>
    <w:rsid w:val="002F5CC9"/>
    <w:rsid w:val="002F6402"/>
    <w:rsid w:val="002F74A9"/>
    <w:rsid w:val="002F7943"/>
    <w:rsid w:val="002F7C5B"/>
    <w:rsid w:val="0030004F"/>
    <w:rsid w:val="003001AF"/>
    <w:rsid w:val="00301398"/>
    <w:rsid w:val="003029CD"/>
    <w:rsid w:val="00303458"/>
    <w:rsid w:val="00304C81"/>
    <w:rsid w:val="0030574E"/>
    <w:rsid w:val="00305DE2"/>
    <w:rsid w:val="00305FA7"/>
    <w:rsid w:val="0030609D"/>
    <w:rsid w:val="00306358"/>
    <w:rsid w:val="00306575"/>
    <w:rsid w:val="00307D62"/>
    <w:rsid w:val="0031076C"/>
    <w:rsid w:val="00310815"/>
    <w:rsid w:val="00310EF4"/>
    <w:rsid w:val="003113BB"/>
    <w:rsid w:val="003114E5"/>
    <w:rsid w:val="003125F5"/>
    <w:rsid w:val="00312B0E"/>
    <w:rsid w:val="003139EB"/>
    <w:rsid w:val="00313C72"/>
    <w:rsid w:val="0031421C"/>
    <w:rsid w:val="0031523A"/>
    <w:rsid w:val="003175AE"/>
    <w:rsid w:val="0032017D"/>
    <w:rsid w:val="00320AF6"/>
    <w:rsid w:val="00320B89"/>
    <w:rsid w:val="0032175B"/>
    <w:rsid w:val="00321D0F"/>
    <w:rsid w:val="003224EF"/>
    <w:rsid w:val="00322A51"/>
    <w:rsid w:val="0032323F"/>
    <w:rsid w:val="00324632"/>
    <w:rsid w:val="00325D09"/>
    <w:rsid w:val="00326673"/>
    <w:rsid w:val="00327146"/>
    <w:rsid w:val="003277A2"/>
    <w:rsid w:val="0033027A"/>
    <w:rsid w:val="00330314"/>
    <w:rsid w:val="00330CA0"/>
    <w:rsid w:val="00332565"/>
    <w:rsid w:val="003327CB"/>
    <w:rsid w:val="0033295B"/>
    <w:rsid w:val="00332979"/>
    <w:rsid w:val="0033297F"/>
    <w:rsid w:val="00333C8D"/>
    <w:rsid w:val="00333CDD"/>
    <w:rsid w:val="00334CD7"/>
    <w:rsid w:val="003352C5"/>
    <w:rsid w:val="00335C28"/>
    <w:rsid w:val="00335C73"/>
    <w:rsid w:val="003362FC"/>
    <w:rsid w:val="003366C0"/>
    <w:rsid w:val="00340BAE"/>
    <w:rsid w:val="003411AF"/>
    <w:rsid w:val="0034203B"/>
    <w:rsid w:val="00342797"/>
    <w:rsid w:val="00342805"/>
    <w:rsid w:val="00342CF0"/>
    <w:rsid w:val="00342D26"/>
    <w:rsid w:val="00342F37"/>
    <w:rsid w:val="0034323B"/>
    <w:rsid w:val="00344249"/>
    <w:rsid w:val="00344CB0"/>
    <w:rsid w:val="00344E61"/>
    <w:rsid w:val="00344FEA"/>
    <w:rsid w:val="003455F9"/>
    <w:rsid w:val="00345907"/>
    <w:rsid w:val="00347DCB"/>
    <w:rsid w:val="00350B26"/>
    <w:rsid w:val="00353674"/>
    <w:rsid w:val="00353743"/>
    <w:rsid w:val="003542C8"/>
    <w:rsid w:val="003547CC"/>
    <w:rsid w:val="00354A00"/>
    <w:rsid w:val="00354F86"/>
    <w:rsid w:val="00355689"/>
    <w:rsid w:val="00355960"/>
    <w:rsid w:val="00355B90"/>
    <w:rsid w:val="003566CA"/>
    <w:rsid w:val="00356EB3"/>
    <w:rsid w:val="003570AF"/>
    <w:rsid w:val="00360D95"/>
    <w:rsid w:val="00361FB0"/>
    <w:rsid w:val="00362883"/>
    <w:rsid w:val="00362C9E"/>
    <w:rsid w:val="00362EE2"/>
    <w:rsid w:val="003634A7"/>
    <w:rsid w:val="0036404F"/>
    <w:rsid w:val="00364D53"/>
    <w:rsid w:val="00365FD7"/>
    <w:rsid w:val="00367562"/>
    <w:rsid w:val="00367933"/>
    <w:rsid w:val="00367E04"/>
    <w:rsid w:val="00371D91"/>
    <w:rsid w:val="0037239F"/>
    <w:rsid w:val="003743F7"/>
    <w:rsid w:val="003759E6"/>
    <w:rsid w:val="00376A20"/>
    <w:rsid w:val="00376A4C"/>
    <w:rsid w:val="00376F49"/>
    <w:rsid w:val="003775ED"/>
    <w:rsid w:val="003778E9"/>
    <w:rsid w:val="00377FE2"/>
    <w:rsid w:val="00380870"/>
    <w:rsid w:val="00380F14"/>
    <w:rsid w:val="00381371"/>
    <w:rsid w:val="0038251A"/>
    <w:rsid w:val="003836B3"/>
    <w:rsid w:val="00383B1D"/>
    <w:rsid w:val="00383C70"/>
    <w:rsid w:val="003840EB"/>
    <w:rsid w:val="00385B08"/>
    <w:rsid w:val="00386C76"/>
    <w:rsid w:val="003875EA"/>
    <w:rsid w:val="00387A3E"/>
    <w:rsid w:val="00390830"/>
    <w:rsid w:val="00391001"/>
    <w:rsid w:val="003917B9"/>
    <w:rsid w:val="00392661"/>
    <w:rsid w:val="003927F3"/>
    <w:rsid w:val="00392B00"/>
    <w:rsid w:val="00393068"/>
    <w:rsid w:val="00394393"/>
    <w:rsid w:val="00394765"/>
    <w:rsid w:val="00395209"/>
    <w:rsid w:val="00395281"/>
    <w:rsid w:val="0039543B"/>
    <w:rsid w:val="00395F7C"/>
    <w:rsid w:val="00396043"/>
    <w:rsid w:val="00397A6C"/>
    <w:rsid w:val="00397B92"/>
    <w:rsid w:val="00397C6C"/>
    <w:rsid w:val="003A00F3"/>
    <w:rsid w:val="003A1739"/>
    <w:rsid w:val="003A191E"/>
    <w:rsid w:val="003A1A45"/>
    <w:rsid w:val="003A1E76"/>
    <w:rsid w:val="003A2715"/>
    <w:rsid w:val="003A280C"/>
    <w:rsid w:val="003A2D08"/>
    <w:rsid w:val="003A370B"/>
    <w:rsid w:val="003A3E39"/>
    <w:rsid w:val="003A5BBB"/>
    <w:rsid w:val="003A5F81"/>
    <w:rsid w:val="003A65C2"/>
    <w:rsid w:val="003B02FA"/>
    <w:rsid w:val="003B06F9"/>
    <w:rsid w:val="003B0D16"/>
    <w:rsid w:val="003B11A9"/>
    <w:rsid w:val="003B1919"/>
    <w:rsid w:val="003B1D7B"/>
    <w:rsid w:val="003B239A"/>
    <w:rsid w:val="003B2769"/>
    <w:rsid w:val="003B2CE9"/>
    <w:rsid w:val="003B329E"/>
    <w:rsid w:val="003B3DC1"/>
    <w:rsid w:val="003B4FB2"/>
    <w:rsid w:val="003B56A7"/>
    <w:rsid w:val="003B621C"/>
    <w:rsid w:val="003B695E"/>
    <w:rsid w:val="003C0049"/>
    <w:rsid w:val="003C1B9D"/>
    <w:rsid w:val="003C21EB"/>
    <w:rsid w:val="003C27C1"/>
    <w:rsid w:val="003C305B"/>
    <w:rsid w:val="003C38BE"/>
    <w:rsid w:val="003C42E2"/>
    <w:rsid w:val="003C5110"/>
    <w:rsid w:val="003C5714"/>
    <w:rsid w:val="003C6172"/>
    <w:rsid w:val="003C67B3"/>
    <w:rsid w:val="003C7390"/>
    <w:rsid w:val="003C7821"/>
    <w:rsid w:val="003C7E17"/>
    <w:rsid w:val="003D0CAE"/>
    <w:rsid w:val="003D19C7"/>
    <w:rsid w:val="003D20CB"/>
    <w:rsid w:val="003D2FC4"/>
    <w:rsid w:val="003D3479"/>
    <w:rsid w:val="003D36F1"/>
    <w:rsid w:val="003D37E9"/>
    <w:rsid w:val="003D42DA"/>
    <w:rsid w:val="003D5365"/>
    <w:rsid w:val="003D5782"/>
    <w:rsid w:val="003D6367"/>
    <w:rsid w:val="003E09BB"/>
    <w:rsid w:val="003E3040"/>
    <w:rsid w:val="003E3DB0"/>
    <w:rsid w:val="003E532D"/>
    <w:rsid w:val="003E5A14"/>
    <w:rsid w:val="003E62AE"/>
    <w:rsid w:val="003E7900"/>
    <w:rsid w:val="003F0C61"/>
    <w:rsid w:val="003F0EF5"/>
    <w:rsid w:val="003F2105"/>
    <w:rsid w:val="003F2AD4"/>
    <w:rsid w:val="003F2B4B"/>
    <w:rsid w:val="003F31D8"/>
    <w:rsid w:val="003F34A8"/>
    <w:rsid w:val="003F4104"/>
    <w:rsid w:val="003F49C8"/>
    <w:rsid w:val="003F4ED9"/>
    <w:rsid w:val="003F5096"/>
    <w:rsid w:val="003F51C4"/>
    <w:rsid w:val="003F54D2"/>
    <w:rsid w:val="003F55A5"/>
    <w:rsid w:val="003F55B2"/>
    <w:rsid w:val="003F6A1E"/>
    <w:rsid w:val="003F6DB6"/>
    <w:rsid w:val="003F75BE"/>
    <w:rsid w:val="003F7B7B"/>
    <w:rsid w:val="0040024C"/>
    <w:rsid w:val="00400D0D"/>
    <w:rsid w:val="0040153B"/>
    <w:rsid w:val="004016E7"/>
    <w:rsid w:val="00401FE1"/>
    <w:rsid w:val="0040388E"/>
    <w:rsid w:val="00403A93"/>
    <w:rsid w:val="00404507"/>
    <w:rsid w:val="00405034"/>
    <w:rsid w:val="0040512E"/>
    <w:rsid w:val="004060DC"/>
    <w:rsid w:val="004066C3"/>
    <w:rsid w:val="0040775B"/>
    <w:rsid w:val="0040786B"/>
    <w:rsid w:val="004116EA"/>
    <w:rsid w:val="00411DFF"/>
    <w:rsid w:val="0041201F"/>
    <w:rsid w:val="00413A5D"/>
    <w:rsid w:val="00413E5C"/>
    <w:rsid w:val="00414C02"/>
    <w:rsid w:val="00416BBC"/>
    <w:rsid w:val="00416BCA"/>
    <w:rsid w:val="004175DC"/>
    <w:rsid w:val="00417BC5"/>
    <w:rsid w:val="00417C58"/>
    <w:rsid w:val="00417FC6"/>
    <w:rsid w:val="00420050"/>
    <w:rsid w:val="004202B7"/>
    <w:rsid w:val="00420A06"/>
    <w:rsid w:val="004210C2"/>
    <w:rsid w:val="004210F8"/>
    <w:rsid w:val="00422668"/>
    <w:rsid w:val="004231E7"/>
    <w:rsid w:val="00423BCB"/>
    <w:rsid w:val="00423D2E"/>
    <w:rsid w:val="00424351"/>
    <w:rsid w:val="0042588E"/>
    <w:rsid w:val="004260EA"/>
    <w:rsid w:val="0042725D"/>
    <w:rsid w:val="00430659"/>
    <w:rsid w:val="00431353"/>
    <w:rsid w:val="00431481"/>
    <w:rsid w:val="00432211"/>
    <w:rsid w:val="00433397"/>
    <w:rsid w:val="00433B8B"/>
    <w:rsid w:val="00434138"/>
    <w:rsid w:val="00434A9F"/>
    <w:rsid w:val="004361BF"/>
    <w:rsid w:val="00436C36"/>
    <w:rsid w:val="00437A04"/>
    <w:rsid w:val="004419D9"/>
    <w:rsid w:val="00444C8F"/>
    <w:rsid w:val="00447BE2"/>
    <w:rsid w:val="0045001E"/>
    <w:rsid w:val="00450F4E"/>
    <w:rsid w:val="00451271"/>
    <w:rsid w:val="00452180"/>
    <w:rsid w:val="0045294D"/>
    <w:rsid w:val="00452F4F"/>
    <w:rsid w:val="004531D6"/>
    <w:rsid w:val="00453283"/>
    <w:rsid w:val="00455E99"/>
    <w:rsid w:val="004578AF"/>
    <w:rsid w:val="00457951"/>
    <w:rsid w:val="00457F43"/>
    <w:rsid w:val="004601BC"/>
    <w:rsid w:val="004602EE"/>
    <w:rsid w:val="00460F71"/>
    <w:rsid w:val="0046178F"/>
    <w:rsid w:val="00461803"/>
    <w:rsid w:val="00461DC2"/>
    <w:rsid w:val="00462AA3"/>
    <w:rsid w:val="00462DB8"/>
    <w:rsid w:val="00462EE3"/>
    <w:rsid w:val="00463A5A"/>
    <w:rsid w:val="00463EE8"/>
    <w:rsid w:val="0046422B"/>
    <w:rsid w:val="00464785"/>
    <w:rsid w:val="00465FA0"/>
    <w:rsid w:val="0046729F"/>
    <w:rsid w:val="004672D8"/>
    <w:rsid w:val="0047004D"/>
    <w:rsid w:val="004704C1"/>
    <w:rsid w:val="00470827"/>
    <w:rsid w:val="00470F95"/>
    <w:rsid w:val="00474184"/>
    <w:rsid w:val="00474D0F"/>
    <w:rsid w:val="00474DD5"/>
    <w:rsid w:val="00475C86"/>
    <w:rsid w:val="004770A7"/>
    <w:rsid w:val="00477B4A"/>
    <w:rsid w:val="00480527"/>
    <w:rsid w:val="00480C2E"/>
    <w:rsid w:val="004816CD"/>
    <w:rsid w:val="004819F5"/>
    <w:rsid w:val="00481DB3"/>
    <w:rsid w:val="00482417"/>
    <w:rsid w:val="00483EB6"/>
    <w:rsid w:val="0048429B"/>
    <w:rsid w:val="00484FD7"/>
    <w:rsid w:val="00485D6B"/>
    <w:rsid w:val="00485F55"/>
    <w:rsid w:val="00487FC8"/>
    <w:rsid w:val="004904A2"/>
    <w:rsid w:val="00490577"/>
    <w:rsid w:val="004907EE"/>
    <w:rsid w:val="004938B9"/>
    <w:rsid w:val="0049570A"/>
    <w:rsid w:val="00495921"/>
    <w:rsid w:val="00495990"/>
    <w:rsid w:val="0049618D"/>
    <w:rsid w:val="00496820"/>
    <w:rsid w:val="00496879"/>
    <w:rsid w:val="004971A5"/>
    <w:rsid w:val="00497290"/>
    <w:rsid w:val="00497E3A"/>
    <w:rsid w:val="004A0012"/>
    <w:rsid w:val="004A16B4"/>
    <w:rsid w:val="004A18C6"/>
    <w:rsid w:val="004A1B52"/>
    <w:rsid w:val="004A3E4D"/>
    <w:rsid w:val="004A42B4"/>
    <w:rsid w:val="004A50E1"/>
    <w:rsid w:val="004A53A1"/>
    <w:rsid w:val="004A6230"/>
    <w:rsid w:val="004A6B84"/>
    <w:rsid w:val="004A76AA"/>
    <w:rsid w:val="004A78FC"/>
    <w:rsid w:val="004B0091"/>
    <w:rsid w:val="004B0568"/>
    <w:rsid w:val="004B0CEB"/>
    <w:rsid w:val="004B0EE0"/>
    <w:rsid w:val="004B258D"/>
    <w:rsid w:val="004B27B1"/>
    <w:rsid w:val="004B2F46"/>
    <w:rsid w:val="004B3236"/>
    <w:rsid w:val="004B32B8"/>
    <w:rsid w:val="004B3F58"/>
    <w:rsid w:val="004B47CB"/>
    <w:rsid w:val="004B4948"/>
    <w:rsid w:val="004B5253"/>
    <w:rsid w:val="004B55B8"/>
    <w:rsid w:val="004B55CB"/>
    <w:rsid w:val="004B58A1"/>
    <w:rsid w:val="004B5CB1"/>
    <w:rsid w:val="004B644E"/>
    <w:rsid w:val="004B7122"/>
    <w:rsid w:val="004C185F"/>
    <w:rsid w:val="004C2FEA"/>
    <w:rsid w:val="004C3953"/>
    <w:rsid w:val="004C3CC4"/>
    <w:rsid w:val="004C6A42"/>
    <w:rsid w:val="004C77B5"/>
    <w:rsid w:val="004C7B34"/>
    <w:rsid w:val="004C7CF3"/>
    <w:rsid w:val="004D1495"/>
    <w:rsid w:val="004D1EAD"/>
    <w:rsid w:val="004D4436"/>
    <w:rsid w:val="004D45C2"/>
    <w:rsid w:val="004D6D54"/>
    <w:rsid w:val="004D722D"/>
    <w:rsid w:val="004D75BE"/>
    <w:rsid w:val="004D7C11"/>
    <w:rsid w:val="004E031D"/>
    <w:rsid w:val="004E0698"/>
    <w:rsid w:val="004E0B48"/>
    <w:rsid w:val="004E1148"/>
    <w:rsid w:val="004E18C4"/>
    <w:rsid w:val="004E259C"/>
    <w:rsid w:val="004E2BCB"/>
    <w:rsid w:val="004E417F"/>
    <w:rsid w:val="004E41CD"/>
    <w:rsid w:val="004E4A53"/>
    <w:rsid w:val="004E67CB"/>
    <w:rsid w:val="004F02E7"/>
    <w:rsid w:val="004F08E0"/>
    <w:rsid w:val="004F1031"/>
    <w:rsid w:val="004F2CD4"/>
    <w:rsid w:val="004F381E"/>
    <w:rsid w:val="004F3FFE"/>
    <w:rsid w:val="004F4BA3"/>
    <w:rsid w:val="004F4BFC"/>
    <w:rsid w:val="004F4C1E"/>
    <w:rsid w:val="004F4D67"/>
    <w:rsid w:val="004F4E80"/>
    <w:rsid w:val="004F51A1"/>
    <w:rsid w:val="004F57DB"/>
    <w:rsid w:val="004F5AD3"/>
    <w:rsid w:val="004F6730"/>
    <w:rsid w:val="00500155"/>
    <w:rsid w:val="0050063A"/>
    <w:rsid w:val="005008DC"/>
    <w:rsid w:val="00500A71"/>
    <w:rsid w:val="00500BC1"/>
    <w:rsid w:val="00500EDA"/>
    <w:rsid w:val="00501EE9"/>
    <w:rsid w:val="00503651"/>
    <w:rsid w:val="00503FD3"/>
    <w:rsid w:val="00505EA0"/>
    <w:rsid w:val="00506347"/>
    <w:rsid w:val="005067A5"/>
    <w:rsid w:val="00507603"/>
    <w:rsid w:val="00507AED"/>
    <w:rsid w:val="00511C7C"/>
    <w:rsid w:val="00512AC8"/>
    <w:rsid w:val="00512C5F"/>
    <w:rsid w:val="00512D01"/>
    <w:rsid w:val="00513272"/>
    <w:rsid w:val="005139F5"/>
    <w:rsid w:val="00513EE2"/>
    <w:rsid w:val="00514A6F"/>
    <w:rsid w:val="00514DCE"/>
    <w:rsid w:val="005164E8"/>
    <w:rsid w:val="00516645"/>
    <w:rsid w:val="00516B4B"/>
    <w:rsid w:val="0052051F"/>
    <w:rsid w:val="00520776"/>
    <w:rsid w:val="005209DE"/>
    <w:rsid w:val="005211BD"/>
    <w:rsid w:val="0052180E"/>
    <w:rsid w:val="0052215D"/>
    <w:rsid w:val="00522E40"/>
    <w:rsid w:val="005233DD"/>
    <w:rsid w:val="00523AD2"/>
    <w:rsid w:val="00523CC7"/>
    <w:rsid w:val="0052459C"/>
    <w:rsid w:val="0052481B"/>
    <w:rsid w:val="0052642D"/>
    <w:rsid w:val="00526CA6"/>
    <w:rsid w:val="00526FFA"/>
    <w:rsid w:val="00527FE0"/>
    <w:rsid w:val="00530A98"/>
    <w:rsid w:val="0053145B"/>
    <w:rsid w:val="00531F9A"/>
    <w:rsid w:val="0053236E"/>
    <w:rsid w:val="00532379"/>
    <w:rsid w:val="00533B5E"/>
    <w:rsid w:val="00533C55"/>
    <w:rsid w:val="005343B4"/>
    <w:rsid w:val="0053476A"/>
    <w:rsid w:val="00534898"/>
    <w:rsid w:val="005349FD"/>
    <w:rsid w:val="00534D12"/>
    <w:rsid w:val="005356C3"/>
    <w:rsid w:val="00535C64"/>
    <w:rsid w:val="00537C62"/>
    <w:rsid w:val="005409A7"/>
    <w:rsid w:val="00540D46"/>
    <w:rsid w:val="00541923"/>
    <w:rsid w:val="00541F36"/>
    <w:rsid w:val="0054488B"/>
    <w:rsid w:val="0054498E"/>
    <w:rsid w:val="00545D77"/>
    <w:rsid w:val="005464E5"/>
    <w:rsid w:val="005505DA"/>
    <w:rsid w:val="005511F1"/>
    <w:rsid w:val="005514AB"/>
    <w:rsid w:val="00551E19"/>
    <w:rsid w:val="00552664"/>
    <w:rsid w:val="00552959"/>
    <w:rsid w:val="00553874"/>
    <w:rsid w:val="00553A0F"/>
    <w:rsid w:val="00554BF6"/>
    <w:rsid w:val="005570D5"/>
    <w:rsid w:val="00557699"/>
    <w:rsid w:val="00557995"/>
    <w:rsid w:val="00557F1C"/>
    <w:rsid w:val="00561ED3"/>
    <w:rsid w:val="005620C9"/>
    <w:rsid w:val="005628EE"/>
    <w:rsid w:val="0056579A"/>
    <w:rsid w:val="00566137"/>
    <w:rsid w:val="0056617C"/>
    <w:rsid w:val="005667B9"/>
    <w:rsid w:val="00566814"/>
    <w:rsid w:val="00567135"/>
    <w:rsid w:val="00567732"/>
    <w:rsid w:val="00567F3F"/>
    <w:rsid w:val="005704F8"/>
    <w:rsid w:val="00570C90"/>
    <w:rsid w:val="00570EA1"/>
    <w:rsid w:val="00572BFD"/>
    <w:rsid w:val="00573B70"/>
    <w:rsid w:val="00573C6D"/>
    <w:rsid w:val="00574078"/>
    <w:rsid w:val="00574693"/>
    <w:rsid w:val="00574A10"/>
    <w:rsid w:val="00575892"/>
    <w:rsid w:val="00575E7A"/>
    <w:rsid w:val="005772C7"/>
    <w:rsid w:val="00577889"/>
    <w:rsid w:val="005779F3"/>
    <w:rsid w:val="00577B7B"/>
    <w:rsid w:val="005801ED"/>
    <w:rsid w:val="00580641"/>
    <w:rsid w:val="00581509"/>
    <w:rsid w:val="00581A9E"/>
    <w:rsid w:val="00581C6E"/>
    <w:rsid w:val="00581FD0"/>
    <w:rsid w:val="00582D88"/>
    <w:rsid w:val="005835BF"/>
    <w:rsid w:val="00583A9D"/>
    <w:rsid w:val="00584287"/>
    <w:rsid w:val="00584497"/>
    <w:rsid w:val="00585C13"/>
    <w:rsid w:val="005875D6"/>
    <w:rsid w:val="00590778"/>
    <w:rsid w:val="0059199B"/>
    <w:rsid w:val="00591ADC"/>
    <w:rsid w:val="00593209"/>
    <w:rsid w:val="005938BD"/>
    <w:rsid w:val="005940E1"/>
    <w:rsid w:val="005940FA"/>
    <w:rsid w:val="00595609"/>
    <w:rsid w:val="00597012"/>
    <w:rsid w:val="00597C8C"/>
    <w:rsid w:val="005A05A9"/>
    <w:rsid w:val="005A1152"/>
    <w:rsid w:val="005A1F03"/>
    <w:rsid w:val="005A2A95"/>
    <w:rsid w:val="005A32DD"/>
    <w:rsid w:val="005A3D9C"/>
    <w:rsid w:val="005A4739"/>
    <w:rsid w:val="005A5ABD"/>
    <w:rsid w:val="005A5E35"/>
    <w:rsid w:val="005A5E79"/>
    <w:rsid w:val="005B0974"/>
    <w:rsid w:val="005B0D68"/>
    <w:rsid w:val="005B1614"/>
    <w:rsid w:val="005B1DC0"/>
    <w:rsid w:val="005B294A"/>
    <w:rsid w:val="005B32EC"/>
    <w:rsid w:val="005B3C00"/>
    <w:rsid w:val="005B44E2"/>
    <w:rsid w:val="005B5ECB"/>
    <w:rsid w:val="005B66AC"/>
    <w:rsid w:val="005C07B6"/>
    <w:rsid w:val="005C219A"/>
    <w:rsid w:val="005C27E3"/>
    <w:rsid w:val="005C318A"/>
    <w:rsid w:val="005C4091"/>
    <w:rsid w:val="005C4792"/>
    <w:rsid w:val="005C48CE"/>
    <w:rsid w:val="005C491F"/>
    <w:rsid w:val="005C582A"/>
    <w:rsid w:val="005C583B"/>
    <w:rsid w:val="005C5ACF"/>
    <w:rsid w:val="005C5EAD"/>
    <w:rsid w:val="005C61FD"/>
    <w:rsid w:val="005C64EE"/>
    <w:rsid w:val="005C77DE"/>
    <w:rsid w:val="005D1513"/>
    <w:rsid w:val="005D1A6C"/>
    <w:rsid w:val="005D20D2"/>
    <w:rsid w:val="005D2D3D"/>
    <w:rsid w:val="005D2DF9"/>
    <w:rsid w:val="005D2EA0"/>
    <w:rsid w:val="005D3ECC"/>
    <w:rsid w:val="005D4626"/>
    <w:rsid w:val="005D4A1F"/>
    <w:rsid w:val="005D5F03"/>
    <w:rsid w:val="005D6A97"/>
    <w:rsid w:val="005D71A6"/>
    <w:rsid w:val="005E11B2"/>
    <w:rsid w:val="005E1234"/>
    <w:rsid w:val="005E1DCB"/>
    <w:rsid w:val="005E1EEA"/>
    <w:rsid w:val="005E23FD"/>
    <w:rsid w:val="005E2B11"/>
    <w:rsid w:val="005E4A72"/>
    <w:rsid w:val="005E4EA0"/>
    <w:rsid w:val="005E50A0"/>
    <w:rsid w:val="005E5E25"/>
    <w:rsid w:val="005F000C"/>
    <w:rsid w:val="005F0DF6"/>
    <w:rsid w:val="005F0ECE"/>
    <w:rsid w:val="005F1020"/>
    <w:rsid w:val="005F1CBF"/>
    <w:rsid w:val="005F2675"/>
    <w:rsid w:val="005F29AC"/>
    <w:rsid w:val="005F4107"/>
    <w:rsid w:val="005F4DE1"/>
    <w:rsid w:val="005F6256"/>
    <w:rsid w:val="005F6F37"/>
    <w:rsid w:val="005F780F"/>
    <w:rsid w:val="006012A5"/>
    <w:rsid w:val="006018C1"/>
    <w:rsid w:val="00602FD9"/>
    <w:rsid w:val="00605A61"/>
    <w:rsid w:val="006069A2"/>
    <w:rsid w:val="00610469"/>
    <w:rsid w:val="00610C4C"/>
    <w:rsid w:val="00610DB2"/>
    <w:rsid w:val="00611740"/>
    <w:rsid w:val="00612AE4"/>
    <w:rsid w:val="00614306"/>
    <w:rsid w:val="00616C20"/>
    <w:rsid w:val="00617A84"/>
    <w:rsid w:val="00617F4C"/>
    <w:rsid w:val="00620B89"/>
    <w:rsid w:val="00622068"/>
    <w:rsid w:val="00622859"/>
    <w:rsid w:val="00622C2B"/>
    <w:rsid w:val="00623D92"/>
    <w:rsid w:val="00623DDD"/>
    <w:rsid w:val="00624948"/>
    <w:rsid w:val="00625F88"/>
    <w:rsid w:val="00626277"/>
    <w:rsid w:val="006269DC"/>
    <w:rsid w:val="0062733B"/>
    <w:rsid w:val="006301D0"/>
    <w:rsid w:val="00632853"/>
    <w:rsid w:val="00632898"/>
    <w:rsid w:val="00634C8B"/>
    <w:rsid w:val="00635312"/>
    <w:rsid w:val="006353EB"/>
    <w:rsid w:val="006358D9"/>
    <w:rsid w:val="00636056"/>
    <w:rsid w:val="0063702A"/>
    <w:rsid w:val="00641A53"/>
    <w:rsid w:val="00641AD8"/>
    <w:rsid w:val="006442F4"/>
    <w:rsid w:val="0064671A"/>
    <w:rsid w:val="00646B10"/>
    <w:rsid w:val="00646BA8"/>
    <w:rsid w:val="00647859"/>
    <w:rsid w:val="00647B40"/>
    <w:rsid w:val="00647DED"/>
    <w:rsid w:val="00647F16"/>
    <w:rsid w:val="00647F1A"/>
    <w:rsid w:val="00650FEA"/>
    <w:rsid w:val="0065159B"/>
    <w:rsid w:val="00651CD0"/>
    <w:rsid w:val="006528DF"/>
    <w:rsid w:val="00652AF4"/>
    <w:rsid w:val="00652E31"/>
    <w:rsid w:val="00653741"/>
    <w:rsid w:val="00654C6E"/>
    <w:rsid w:val="0065509B"/>
    <w:rsid w:val="006554CB"/>
    <w:rsid w:val="00655EB9"/>
    <w:rsid w:val="00656AC5"/>
    <w:rsid w:val="00657BDE"/>
    <w:rsid w:val="00657D06"/>
    <w:rsid w:val="00660A89"/>
    <w:rsid w:val="00661514"/>
    <w:rsid w:val="00661A57"/>
    <w:rsid w:val="00662427"/>
    <w:rsid w:val="0066279A"/>
    <w:rsid w:val="006630D6"/>
    <w:rsid w:val="00664F75"/>
    <w:rsid w:val="0066531A"/>
    <w:rsid w:val="00665630"/>
    <w:rsid w:val="006676B4"/>
    <w:rsid w:val="00667B61"/>
    <w:rsid w:val="006706E3"/>
    <w:rsid w:val="00670838"/>
    <w:rsid w:val="006731DF"/>
    <w:rsid w:val="0067344E"/>
    <w:rsid w:val="00675089"/>
    <w:rsid w:val="0067534F"/>
    <w:rsid w:val="00675B8C"/>
    <w:rsid w:val="006763D9"/>
    <w:rsid w:val="00677A13"/>
    <w:rsid w:val="00677DE3"/>
    <w:rsid w:val="00677E31"/>
    <w:rsid w:val="006808CF"/>
    <w:rsid w:val="00680C2E"/>
    <w:rsid w:val="00680D93"/>
    <w:rsid w:val="00682098"/>
    <w:rsid w:val="006829C4"/>
    <w:rsid w:val="00682FC5"/>
    <w:rsid w:val="00683057"/>
    <w:rsid w:val="0068347E"/>
    <w:rsid w:val="006834FE"/>
    <w:rsid w:val="006837EA"/>
    <w:rsid w:val="00683867"/>
    <w:rsid w:val="00683B25"/>
    <w:rsid w:val="00683B3F"/>
    <w:rsid w:val="006840BF"/>
    <w:rsid w:val="00685E9D"/>
    <w:rsid w:val="0068607F"/>
    <w:rsid w:val="00687558"/>
    <w:rsid w:val="00691383"/>
    <w:rsid w:val="006919E1"/>
    <w:rsid w:val="00691F54"/>
    <w:rsid w:val="00693304"/>
    <w:rsid w:val="0069339A"/>
    <w:rsid w:val="00693E6B"/>
    <w:rsid w:val="00694585"/>
    <w:rsid w:val="0069531E"/>
    <w:rsid w:val="00695786"/>
    <w:rsid w:val="00695832"/>
    <w:rsid w:val="006965E7"/>
    <w:rsid w:val="0069668D"/>
    <w:rsid w:val="00696EA5"/>
    <w:rsid w:val="00697FB4"/>
    <w:rsid w:val="006A0343"/>
    <w:rsid w:val="006A05E6"/>
    <w:rsid w:val="006A0E13"/>
    <w:rsid w:val="006A1709"/>
    <w:rsid w:val="006A1F5D"/>
    <w:rsid w:val="006A1FA1"/>
    <w:rsid w:val="006A228D"/>
    <w:rsid w:val="006A319D"/>
    <w:rsid w:val="006A4158"/>
    <w:rsid w:val="006A47FB"/>
    <w:rsid w:val="006A4F55"/>
    <w:rsid w:val="006A5473"/>
    <w:rsid w:val="006A7851"/>
    <w:rsid w:val="006A7C21"/>
    <w:rsid w:val="006B0027"/>
    <w:rsid w:val="006B1334"/>
    <w:rsid w:val="006B14D3"/>
    <w:rsid w:val="006B2712"/>
    <w:rsid w:val="006B28CC"/>
    <w:rsid w:val="006B29CF"/>
    <w:rsid w:val="006B2DCB"/>
    <w:rsid w:val="006B4AEF"/>
    <w:rsid w:val="006B5080"/>
    <w:rsid w:val="006B5D9C"/>
    <w:rsid w:val="006B5EE9"/>
    <w:rsid w:val="006B6671"/>
    <w:rsid w:val="006B74C1"/>
    <w:rsid w:val="006C05C2"/>
    <w:rsid w:val="006C0A12"/>
    <w:rsid w:val="006C0BAD"/>
    <w:rsid w:val="006C0D23"/>
    <w:rsid w:val="006C12F1"/>
    <w:rsid w:val="006C1551"/>
    <w:rsid w:val="006C2124"/>
    <w:rsid w:val="006C22E0"/>
    <w:rsid w:val="006C2A09"/>
    <w:rsid w:val="006C4B3A"/>
    <w:rsid w:val="006C57E5"/>
    <w:rsid w:val="006C5FC5"/>
    <w:rsid w:val="006C7352"/>
    <w:rsid w:val="006C77C8"/>
    <w:rsid w:val="006C788F"/>
    <w:rsid w:val="006D048A"/>
    <w:rsid w:val="006D09A5"/>
    <w:rsid w:val="006D3D18"/>
    <w:rsid w:val="006D47CF"/>
    <w:rsid w:val="006D56C6"/>
    <w:rsid w:val="006D5E1B"/>
    <w:rsid w:val="006D629F"/>
    <w:rsid w:val="006D689F"/>
    <w:rsid w:val="006D715E"/>
    <w:rsid w:val="006D794A"/>
    <w:rsid w:val="006D7EF4"/>
    <w:rsid w:val="006E0BD8"/>
    <w:rsid w:val="006E3925"/>
    <w:rsid w:val="006E4971"/>
    <w:rsid w:val="006E65F5"/>
    <w:rsid w:val="006F1115"/>
    <w:rsid w:val="006F1D64"/>
    <w:rsid w:val="006F29CE"/>
    <w:rsid w:val="006F2A7F"/>
    <w:rsid w:val="006F3C88"/>
    <w:rsid w:val="006F3E27"/>
    <w:rsid w:val="006F529F"/>
    <w:rsid w:val="006F6C33"/>
    <w:rsid w:val="00700427"/>
    <w:rsid w:val="00700E96"/>
    <w:rsid w:val="00702158"/>
    <w:rsid w:val="0070239A"/>
    <w:rsid w:val="0070446A"/>
    <w:rsid w:val="00704F66"/>
    <w:rsid w:val="0070540D"/>
    <w:rsid w:val="00705935"/>
    <w:rsid w:val="00705A4E"/>
    <w:rsid w:val="00707633"/>
    <w:rsid w:val="007113F8"/>
    <w:rsid w:val="00711A52"/>
    <w:rsid w:val="0071222C"/>
    <w:rsid w:val="007135CC"/>
    <w:rsid w:val="00713CB8"/>
    <w:rsid w:val="00714B88"/>
    <w:rsid w:val="0071508C"/>
    <w:rsid w:val="007151D9"/>
    <w:rsid w:val="00715334"/>
    <w:rsid w:val="00720259"/>
    <w:rsid w:val="00721986"/>
    <w:rsid w:val="007226ED"/>
    <w:rsid w:val="0072276A"/>
    <w:rsid w:val="00722B6F"/>
    <w:rsid w:val="0072304F"/>
    <w:rsid w:val="007253F7"/>
    <w:rsid w:val="0072584B"/>
    <w:rsid w:val="007259D5"/>
    <w:rsid w:val="00726ED0"/>
    <w:rsid w:val="00727511"/>
    <w:rsid w:val="00727D4B"/>
    <w:rsid w:val="00730CC2"/>
    <w:rsid w:val="007329FA"/>
    <w:rsid w:val="00734BD9"/>
    <w:rsid w:val="007359F0"/>
    <w:rsid w:val="00735BF8"/>
    <w:rsid w:val="007361DA"/>
    <w:rsid w:val="007372D2"/>
    <w:rsid w:val="00740656"/>
    <w:rsid w:val="00740DE4"/>
    <w:rsid w:val="00741148"/>
    <w:rsid w:val="00741218"/>
    <w:rsid w:val="00741F4A"/>
    <w:rsid w:val="007431A9"/>
    <w:rsid w:val="0074489F"/>
    <w:rsid w:val="00744D53"/>
    <w:rsid w:val="007458D1"/>
    <w:rsid w:val="007471E1"/>
    <w:rsid w:val="00747F00"/>
    <w:rsid w:val="007504D7"/>
    <w:rsid w:val="00750B46"/>
    <w:rsid w:val="00751C04"/>
    <w:rsid w:val="00752560"/>
    <w:rsid w:val="00752E10"/>
    <w:rsid w:val="00755A66"/>
    <w:rsid w:val="00756021"/>
    <w:rsid w:val="0075683F"/>
    <w:rsid w:val="00757542"/>
    <w:rsid w:val="00757C43"/>
    <w:rsid w:val="00760061"/>
    <w:rsid w:val="007604EC"/>
    <w:rsid w:val="00761877"/>
    <w:rsid w:val="00762166"/>
    <w:rsid w:val="00762937"/>
    <w:rsid w:val="0076346B"/>
    <w:rsid w:val="007643FD"/>
    <w:rsid w:val="00765D64"/>
    <w:rsid w:val="007666D3"/>
    <w:rsid w:val="00770162"/>
    <w:rsid w:val="0077036C"/>
    <w:rsid w:val="00770B83"/>
    <w:rsid w:val="00770BFA"/>
    <w:rsid w:val="007729D5"/>
    <w:rsid w:val="00772FF2"/>
    <w:rsid w:val="00773B84"/>
    <w:rsid w:val="00774241"/>
    <w:rsid w:val="00775FA6"/>
    <w:rsid w:val="007763DA"/>
    <w:rsid w:val="00776B7B"/>
    <w:rsid w:val="00777B11"/>
    <w:rsid w:val="00777BFD"/>
    <w:rsid w:val="00783762"/>
    <w:rsid w:val="00784308"/>
    <w:rsid w:val="00784D1A"/>
    <w:rsid w:val="00785D66"/>
    <w:rsid w:val="007862F7"/>
    <w:rsid w:val="00786F0A"/>
    <w:rsid w:val="0078794B"/>
    <w:rsid w:val="00790D59"/>
    <w:rsid w:val="00791481"/>
    <w:rsid w:val="0079275A"/>
    <w:rsid w:val="00793CF2"/>
    <w:rsid w:val="00794459"/>
    <w:rsid w:val="00794561"/>
    <w:rsid w:val="00794CE6"/>
    <w:rsid w:val="00795424"/>
    <w:rsid w:val="007956FE"/>
    <w:rsid w:val="00796947"/>
    <w:rsid w:val="0079772F"/>
    <w:rsid w:val="00797AE8"/>
    <w:rsid w:val="007A0A38"/>
    <w:rsid w:val="007A0F6E"/>
    <w:rsid w:val="007A11BA"/>
    <w:rsid w:val="007A1AB0"/>
    <w:rsid w:val="007A2447"/>
    <w:rsid w:val="007A2A8F"/>
    <w:rsid w:val="007A3C1F"/>
    <w:rsid w:val="007A4829"/>
    <w:rsid w:val="007A5AFD"/>
    <w:rsid w:val="007A72D7"/>
    <w:rsid w:val="007A7411"/>
    <w:rsid w:val="007A75B8"/>
    <w:rsid w:val="007A7E9A"/>
    <w:rsid w:val="007B080C"/>
    <w:rsid w:val="007B18FC"/>
    <w:rsid w:val="007B3923"/>
    <w:rsid w:val="007B46FE"/>
    <w:rsid w:val="007B4BE8"/>
    <w:rsid w:val="007B4F34"/>
    <w:rsid w:val="007B5B6F"/>
    <w:rsid w:val="007B6926"/>
    <w:rsid w:val="007C011E"/>
    <w:rsid w:val="007C0187"/>
    <w:rsid w:val="007C04A7"/>
    <w:rsid w:val="007C0770"/>
    <w:rsid w:val="007C1216"/>
    <w:rsid w:val="007C15FB"/>
    <w:rsid w:val="007C18D5"/>
    <w:rsid w:val="007C1DDC"/>
    <w:rsid w:val="007C2921"/>
    <w:rsid w:val="007C485F"/>
    <w:rsid w:val="007C4CC7"/>
    <w:rsid w:val="007C56FC"/>
    <w:rsid w:val="007C6070"/>
    <w:rsid w:val="007C6526"/>
    <w:rsid w:val="007C6689"/>
    <w:rsid w:val="007C6893"/>
    <w:rsid w:val="007C75DC"/>
    <w:rsid w:val="007C7A4A"/>
    <w:rsid w:val="007D24BA"/>
    <w:rsid w:val="007D2531"/>
    <w:rsid w:val="007D28EA"/>
    <w:rsid w:val="007D33CA"/>
    <w:rsid w:val="007D3764"/>
    <w:rsid w:val="007D3C4E"/>
    <w:rsid w:val="007D40BB"/>
    <w:rsid w:val="007D4177"/>
    <w:rsid w:val="007D5DD5"/>
    <w:rsid w:val="007D615A"/>
    <w:rsid w:val="007D7101"/>
    <w:rsid w:val="007D71FB"/>
    <w:rsid w:val="007D7B51"/>
    <w:rsid w:val="007D7FB2"/>
    <w:rsid w:val="007E0368"/>
    <w:rsid w:val="007E1603"/>
    <w:rsid w:val="007E1A19"/>
    <w:rsid w:val="007E34CC"/>
    <w:rsid w:val="007E3731"/>
    <w:rsid w:val="007E3A5C"/>
    <w:rsid w:val="007E3D71"/>
    <w:rsid w:val="007E48DD"/>
    <w:rsid w:val="007E4B33"/>
    <w:rsid w:val="007E5460"/>
    <w:rsid w:val="007E5FD8"/>
    <w:rsid w:val="007E6AB1"/>
    <w:rsid w:val="007E6ADE"/>
    <w:rsid w:val="007E705D"/>
    <w:rsid w:val="007E7BA8"/>
    <w:rsid w:val="007F0A3F"/>
    <w:rsid w:val="007F10B9"/>
    <w:rsid w:val="007F2BC6"/>
    <w:rsid w:val="007F2CB3"/>
    <w:rsid w:val="007F2F02"/>
    <w:rsid w:val="007F3206"/>
    <w:rsid w:val="007F3432"/>
    <w:rsid w:val="007F4AEE"/>
    <w:rsid w:val="007F4AFA"/>
    <w:rsid w:val="007F4DED"/>
    <w:rsid w:val="007F51A3"/>
    <w:rsid w:val="007F5419"/>
    <w:rsid w:val="007F5E14"/>
    <w:rsid w:val="007F5F99"/>
    <w:rsid w:val="007F6443"/>
    <w:rsid w:val="007F6D8E"/>
    <w:rsid w:val="007F6F2E"/>
    <w:rsid w:val="007F7ADD"/>
    <w:rsid w:val="00800033"/>
    <w:rsid w:val="00801999"/>
    <w:rsid w:val="00801F07"/>
    <w:rsid w:val="008023C1"/>
    <w:rsid w:val="00803183"/>
    <w:rsid w:val="00803F6B"/>
    <w:rsid w:val="00804272"/>
    <w:rsid w:val="0080530D"/>
    <w:rsid w:val="008053A9"/>
    <w:rsid w:val="00805E89"/>
    <w:rsid w:val="0080636F"/>
    <w:rsid w:val="00806452"/>
    <w:rsid w:val="00811F08"/>
    <w:rsid w:val="00812282"/>
    <w:rsid w:val="0081253D"/>
    <w:rsid w:val="00812889"/>
    <w:rsid w:val="008139E6"/>
    <w:rsid w:val="00813B7F"/>
    <w:rsid w:val="0081503E"/>
    <w:rsid w:val="008158C9"/>
    <w:rsid w:val="00815C6D"/>
    <w:rsid w:val="0081688D"/>
    <w:rsid w:val="0081727C"/>
    <w:rsid w:val="00817C50"/>
    <w:rsid w:val="00820615"/>
    <w:rsid w:val="00820C14"/>
    <w:rsid w:val="0082149A"/>
    <w:rsid w:val="008225F4"/>
    <w:rsid w:val="00824D1A"/>
    <w:rsid w:val="00824FB2"/>
    <w:rsid w:val="008259D8"/>
    <w:rsid w:val="00826400"/>
    <w:rsid w:val="00827A79"/>
    <w:rsid w:val="00827E36"/>
    <w:rsid w:val="008300E7"/>
    <w:rsid w:val="008303C7"/>
    <w:rsid w:val="008303EC"/>
    <w:rsid w:val="00831622"/>
    <w:rsid w:val="00831F0A"/>
    <w:rsid w:val="00832235"/>
    <w:rsid w:val="00832498"/>
    <w:rsid w:val="008325E9"/>
    <w:rsid w:val="008328AF"/>
    <w:rsid w:val="00834ACC"/>
    <w:rsid w:val="00837061"/>
    <w:rsid w:val="00837CD7"/>
    <w:rsid w:val="0084085A"/>
    <w:rsid w:val="00841134"/>
    <w:rsid w:val="008411A3"/>
    <w:rsid w:val="00841503"/>
    <w:rsid w:val="00846FB5"/>
    <w:rsid w:val="00847490"/>
    <w:rsid w:val="00850B28"/>
    <w:rsid w:val="00850F6D"/>
    <w:rsid w:val="0085194C"/>
    <w:rsid w:val="008519D5"/>
    <w:rsid w:val="00852331"/>
    <w:rsid w:val="0085280B"/>
    <w:rsid w:val="00852C1A"/>
    <w:rsid w:val="00854655"/>
    <w:rsid w:val="008546BB"/>
    <w:rsid w:val="00854D00"/>
    <w:rsid w:val="0085573C"/>
    <w:rsid w:val="008559F4"/>
    <w:rsid w:val="00855A0F"/>
    <w:rsid w:val="008563C4"/>
    <w:rsid w:val="0085676E"/>
    <w:rsid w:val="008569F4"/>
    <w:rsid w:val="00856F37"/>
    <w:rsid w:val="0086032C"/>
    <w:rsid w:val="00860F75"/>
    <w:rsid w:val="008616F5"/>
    <w:rsid w:val="00861929"/>
    <w:rsid w:val="0086198A"/>
    <w:rsid w:val="00861999"/>
    <w:rsid w:val="008621C7"/>
    <w:rsid w:val="0086291B"/>
    <w:rsid w:val="0086309C"/>
    <w:rsid w:val="00864BD8"/>
    <w:rsid w:val="00865326"/>
    <w:rsid w:val="008662A1"/>
    <w:rsid w:val="008667C9"/>
    <w:rsid w:val="00866D76"/>
    <w:rsid w:val="00870042"/>
    <w:rsid w:val="00870700"/>
    <w:rsid w:val="00870B9C"/>
    <w:rsid w:val="00870D26"/>
    <w:rsid w:val="008712E7"/>
    <w:rsid w:val="008719A7"/>
    <w:rsid w:val="00871DD3"/>
    <w:rsid w:val="00872DAF"/>
    <w:rsid w:val="00872DB1"/>
    <w:rsid w:val="00873719"/>
    <w:rsid w:val="008737D3"/>
    <w:rsid w:val="008741BE"/>
    <w:rsid w:val="00874BF9"/>
    <w:rsid w:val="008754D7"/>
    <w:rsid w:val="00875C30"/>
    <w:rsid w:val="00876456"/>
    <w:rsid w:val="008768A7"/>
    <w:rsid w:val="00877436"/>
    <w:rsid w:val="00877533"/>
    <w:rsid w:val="0087759F"/>
    <w:rsid w:val="00877A89"/>
    <w:rsid w:val="00877F75"/>
    <w:rsid w:val="00881F18"/>
    <w:rsid w:val="008850E1"/>
    <w:rsid w:val="008852DA"/>
    <w:rsid w:val="0088574B"/>
    <w:rsid w:val="00886478"/>
    <w:rsid w:val="008901AF"/>
    <w:rsid w:val="00890F4A"/>
    <w:rsid w:val="0089137F"/>
    <w:rsid w:val="0089284F"/>
    <w:rsid w:val="00892ED1"/>
    <w:rsid w:val="008932A1"/>
    <w:rsid w:val="00893DC7"/>
    <w:rsid w:val="00894089"/>
    <w:rsid w:val="00894819"/>
    <w:rsid w:val="008955B7"/>
    <w:rsid w:val="0089590A"/>
    <w:rsid w:val="00896235"/>
    <w:rsid w:val="00896F0D"/>
    <w:rsid w:val="00897531"/>
    <w:rsid w:val="008A0052"/>
    <w:rsid w:val="008A14E7"/>
    <w:rsid w:val="008A20CB"/>
    <w:rsid w:val="008A218B"/>
    <w:rsid w:val="008A2220"/>
    <w:rsid w:val="008A26D8"/>
    <w:rsid w:val="008A3613"/>
    <w:rsid w:val="008A36CA"/>
    <w:rsid w:val="008A3A68"/>
    <w:rsid w:val="008A4DB0"/>
    <w:rsid w:val="008A632F"/>
    <w:rsid w:val="008A6BCF"/>
    <w:rsid w:val="008A6F7D"/>
    <w:rsid w:val="008A78DD"/>
    <w:rsid w:val="008A7BF7"/>
    <w:rsid w:val="008B1388"/>
    <w:rsid w:val="008B41BC"/>
    <w:rsid w:val="008B4F1F"/>
    <w:rsid w:val="008B5287"/>
    <w:rsid w:val="008B568D"/>
    <w:rsid w:val="008B5FD8"/>
    <w:rsid w:val="008B68C6"/>
    <w:rsid w:val="008B7817"/>
    <w:rsid w:val="008B7C72"/>
    <w:rsid w:val="008B7EEB"/>
    <w:rsid w:val="008C072F"/>
    <w:rsid w:val="008C0C9F"/>
    <w:rsid w:val="008C0CD5"/>
    <w:rsid w:val="008C194A"/>
    <w:rsid w:val="008C2AA6"/>
    <w:rsid w:val="008C2B3B"/>
    <w:rsid w:val="008C2B6C"/>
    <w:rsid w:val="008C2D01"/>
    <w:rsid w:val="008C321C"/>
    <w:rsid w:val="008C4C46"/>
    <w:rsid w:val="008C5061"/>
    <w:rsid w:val="008C52E9"/>
    <w:rsid w:val="008C54B6"/>
    <w:rsid w:val="008C6E8E"/>
    <w:rsid w:val="008C6E98"/>
    <w:rsid w:val="008C7367"/>
    <w:rsid w:val="008C73DD"/>
    <w:rsid w:val="008D0A4E"/>
    <w:rsid w:val="008D0B5C"/>
    <w:rsid w:val="008D27DC"/>
    <w:rsid w:val="008D4431"/>
    <w:rsid w:val="008D45B3"/>
    <w:rsid w:val="008D5183"/>
    <w:rsid w:val="008D5F08"/>
    <w:rsid w:val="008D6539"/>
    <w:rsid w:val="008D6656"/>
    <w:rsid w:val="008D67F1"/>
    <w:rsid w:val="008D72C7"/>
    <w:rsid w:val="008D7A92"/>
    <w:rsid w:val="008E1735"/>
    <w:rsid w:val="008E18D1"/>
    <w:rsid w:val="008E1BDB"/>
    <w:rsid w:val="008E24C8"/>
    <w:rsid w:val="008E2D9E"/>
    <w:rsid w:val="008E31A6"/>
    <w:rsid w:val="008E3301"/>
    <w:rsid w:val="008E399E"/>
    <w:rsid w:val="008E45E5"/>
    <w:rsid w:val="008E6444"/>
    <w:rsid w:val="008E6CE2"/>
    <w:rsid w:val="008F0939"/>
    <w:rsid w:val="008F4077"/>
    <w:rsid w:val="008F5211"/>
    <w:rsid w:val="008F5950"/>
    <w:rsid w:val="008F5CE3"/>
    <w:rsid w:val="008F6B36"/>
    <w:rsid w:val="008F731B"/>
    <w:rsid w:val="008F7610"/>
    <w:rsid w:val="008F7ECC"/>
    <w:rsid w:val="00900266"/>
    <w:rsid w:val="00901270"/>
    <w:rsid w:val="00901722"/>
    <w:rsid w:val="00901DC2"/>
    <w:rsid w:val="00904980"/>
    <w:rsid w:val="00904EB1"/>
    <w:rsid w:val="009051A6"/>
    <w:rsid w:val="00905D1B"/>
    <w:rsid w:val="00906D7E"/>
    <w:rsid w:val="009078B8"/>
    <w:rsid w:val="00907ECA"/>
    <w:rsid w:val="00910BC1"/>
    <w:rsid w:val="009110E7"/>
    <w:rsid w:val="00912AFC"/>
    <w:rsid w:val="00913086"/>
    <w:rsid w:val="00913334"/>
    <w:rsid w:val="00913858"/>
    <w:rsid w:val="009141A6"/>
    <w:rsid w:val="00914911"/>
    <w:rsid w:val="00914BC5"/>
    <w:rsid w:val="00916FAA"/>
    <w:rsid w:val="00917092"/>
    <w:rsid w:val="00920143"/>
    <w:rsid w:val="009201F7"/>
    <w:rsid w:val="009204F6"/>
    <w:rsid w:val="0092070E"/>
    <w:rsid w:val="009216F1"/>
    <w:rsid w:val="009225EA"/>
    <w:rsid w:val="00922766"/>
    <w:rsid w:val="00924D77"/>
    <w:rsid w:val="00926B6E"/>
    <w:rsid w:val="00926F99"/>
    <w:rsid w:val="0093049A"/>
    <w:rsid w:val="009304E5"/>
    <w:rsid w:val="00930D3C"/>
    <w:rsid w:val="009328F8"/>
    <w:rsid w:val="009330EE"/>
    <w:rsid w:val="009338FC"/>
    <w:rsid w:val="00933C8B"/>
    <w:rsid w:val="009342F3"/>
    <w:rsid w:val="0093432D"/>
    <w:rsid w:val="0093433A"/>
    <w:rsid w:val="00935087"/>
    <w:rsid w:val="009355CD"/>
    <w:rsid w:val="0094078B"/>
    <w:rsid w:val="0094240A"/>
    <w:rsid w:val="0094323C"/>
    <w:rsid w:val="009437C5"/>
    <w:rsid w:val="00944646"/>
    <w:rsid w:val="00944BAE"/>
    <w:rsid w:val="009458AB"/>
    <w:rsid w:val="00945E2A"/>
    <w:rsid w:val="009468DA"/>
    <w:rsid w:val="00946CB7"/>
    <w:rsid w:val="00947F94"/>
    <w:rsid w:val="00950EFA"/>
    <w:rsid w:val="00952D35"/>
    <w:rsid w:val="009534C1"/>
    <w:rsid w:val="00953CF9"/>
    <w:rsid w:val="009550D0"/>
    <w:rsid w:val="00955169"/>
    <w:rsid w:val="009556EF"/>
    <w:rsid w:val="009561E3"/>
    <w:rsid w:val="00956663"/>
    <w:rsid w:val="00956D08"/>
    <w:rsid w:val="00956D17"/>
    <w:rsid w:val="009574C6"/>
    <w:rsid w:val="009575B5"/>
    <w:rsid w:val="00960DE9"/>
    <w:rsid w:val="00962E99"/>
    <w:rsid w:val="00963E21"/>
    <w:rsid w:val="009648AF"/>
    <w:rsid w:val="00965101"/>
    <w:rsid w:val="00965CE1"/>
    <w:rsid w:val="00966B96"/>
    <w:rsid w:val="0096788F"/>
    <w:rsid w:val="009679BA"/>
    <w:rsid w:val="00971C1C"/>
    <w:rsid w:val="00972A2D"/>
    <w:rsid w:val="00972B4E"/>
    <w:rsid w:val="00972DB3"/>
    <w:rsid w:val="00972F30"/>
    <w:rsid w:val="0097414C"/>
    <w:rsid w:val="00974691"/>
    <w:rsid w:val="009761DD"/>
    <w:rsid w:val="00976AA3"/>
    <w:rsid w:val="00976E23"/>
    <w:rsid w:val="009813D5"/>
    <w:rsid w:val="00981A1D"/>
    <w:rsid w:val="00981A22"/>
    <w:rsid w:val="00982611"/>
    <w:rsid w:val="00982AC8"/>
    <w:rsid w:val="0098321E"/>
    <w:rsid w:val="00983EA9"/>
    <w:rsid w:val="00985235"/>
    <w:rsid w:val="0098585F"/>
    <w:rsid w:val="009872AB"/>
    <w:rsid w:val="0098744E"/>
    <w:rsid w:val="009908C1"/>
    <w:rsid w:val="00991426"/>
    <w:rsid w:val="009922F9"/>
    <w:rsid w:val="00992414"/>
    <w:rsid w:val="00992622"/>
    <w:rsid w:val="00993702"/>
    <w:rsid w:val="0099404B"/>
    <w:rsid w:val="00994454"/>
    <w:rsid w:val="00996A73"/>
    <w:rsid w:val="00996F90"/>
    <w:rsid w:val="009A0AE0"/>
    <w:rsid w:val="009A0F60"/>
    <w:rsid w:val="009A1565"/>
    <w:rsid w:val="009A1D07"/>
    <w:rsid w:val="009A25BF"/>
    <w:rsid w:val="009A3557"/>
    <w:rsid w:val="009A36A1"/>
    <w:rsid w:val="009A38F0"/>
    <w:rsid w:val="009A3A20"/>
    <w:rsid w:val="009A442C"/>
    <w:rsid w:val="009A6B2B"/>
    <w:rsid w:val="009B09E7"/>
    <w:rsid w:val="009B2037"/>
    <w:rsid w:val="009B3F43"/>
    <w:rsid w:val="009B4731"/>
    <w:rsid w:val="009B5084"/>
    <w:rsid w:val="009B6A75"/>
    <w:rsid w:val="009B6DB0"/>
    <w:rsid w:val="009C25D9"/>
    <w:rsid w:val="009C2888"/>
    <w:rsid w:val="009C3350"/>
    <w:rsid w:val="009C363A"/>
    <w:rsid w:val="009C46C8"/>
    <w:rsid w:val="009C4B60"/>
    <w:rsid w:val="009C61B3"/>
    <w:rsid w:val="009C6C97"/>
    <w:rsid w:val="009C7354"/>
    <w:rsid w:val="009D002C"/>
    <w:rsid w:val="009D0C61"/>
    <w:rsid w:val="009D22AD"/>
    <w:rsid w:val="009D23AF"/>
    <w:rsid w:val="009D2CE3"/>
    <w:rsid w:val="009D2F06"/>
    <w:rsid w:val="009D3040"/>
    <w:rsid w:val="009D3F2E"/>
    <w:rsid w:val="009D5EDA"/>
    <w:rsid w:val="009D6099"/>
    <w:rsid w:val="009D651A"/>
    <w:rsid w:val="009D668E"/>
    <w:rsid w:val="009D7252"/>
    <w:rsid w:val="009D7394"/>
    <w:rsid w:val="009E080B"/>
    <w:rsid w:val="009E0B2B"/>
    <w:rsid w:val="009E139B"/>
    <w:rsid w:val="009E21E2"/>
    <w:rsid w:val="009E23CD"/>
    <w:rsid w:val="009E24EA"/>
    <w:rsid w:val="009E29F1"/>
    <w:rsid w:val="009E2FFA"/>
    <w:rsid w:val="009E35BB"/>
    <w:rsid w:val="009E418D"/>
    <w:rsid w:val="009E4569"/>
    <w:rsid w:val="009E5975"/>
    <w:rsid w:val="009E5CDF"/>
    <w:rsid w:val="009E6066"/>
    <w:rsid w:val="009E64C9"/>
    <w:rsid w:val="009E6BEA"/>
    <w:rsid w:val="009E745F"/>
    <w:rsid w:val="009F0F61"/>
    <w:rsid w:val="009F167F"/>
    <w:rsid w:val="009F1928"/>
    <w:rsid w:val="009F265A"/>
    <w:rsid w:val="009F2716"/>
    <w:rsid w:val="009F28D6"/>
    <w:rsid w:val="009F326A"/>
    <w:rsid w:val="009F4731"/>
    <w:rsid w:val="009F514C"/>
    <w:rsid w:val="009F5C33"/>
    <w:rsid w:val="009F73CB"/>
    <w:rsid w:val="009F782F"/>
    <w:rsid w:val="00A020E7"/>
    <w:rsid w:val="00A021AC"/>
    <w:rsid w:val="00A029E0"/>
    <w:rsid w:val="00A0399C"/>
    <w:rsid w:val="00A0518A"/>
    <w:rsid w:val="00A0520E"/>
    <w:rsid w:val="00A07847"/>
    <w:rsid w:val="00A07A3B"/>
    <w:rsid w:val="00A1094C"/>
    <w:rsid w:val="00A10EBE"/>
    <w:rsid w:val="00A11B8D"/>
    <w:rsid w:val="00A11E40"/>
    <w:rsid w:val="00A122CD"/>
    <w:rsid w:val="00A128CA"/>
    <w:rsid w:val="00A1298B"/>
    <w:rsid w:val="00A12D14"/>
    <w:rsid w:val="00A13043"/>
    <w:rsid w:val="00A1351A"/>
    <w:rsid w:val="00A13D7C"/>
    <w:rsid w:val="00A14DC0"/>
    <w:rsid w:val="00A15B38"/>
    <w:rsid w:val="00A1651C"/>
    <w:rsid w:val="00A16D1D"/>
    <w:rsid w:val="00A16E42"/>
    <w:rsid w:val="00A1778A"/>
    <w:rsid w:val="00A17AB1"/>
    <w:rsid w:val="00A17BC8"/>
    <w:rsid w:val="00A200FA"/>
    <w:rsid w:val="00A20A6D"/>
    <w:rsid w:val="00A20B46"/>
    <w:rsid w:val="00A21166"/>
    <w:rsid w:val="00A21606"/>
    <w:rsid w:val="00A216F3"/>
    <w:rsid w:val="00A23D71"/>
    <w:rsid w:val="00A24B69"/>
    <w:rsid w:val="00A24D72"/>
    <w:rsid w:val="00A24E6F"/>
    <w:rsid w:val="00A24E9F"/>
    <w:rsid w:val="00A24FF2"/>
    <w:rsid w:val="00A274E5"/>
    <w:rsid w:val="00A300F4"/>
    <w:rsid w:val="00A308C9"/>
    <w:rsid w:val="00A30E93"/>
    <w:rsid w:val="00A32623"/>
    <w:rsid w:val="00A32C5C"/>
    <w:rsid w:val="00A33A47"/>
    <w:rsid w:val="00A33C5C"/>
    <w:rsid w:val="00A35212"/>
    <w:rsid w:val="00A35FB1"/>
    <w:rsid w:val="00A3730D"/>
    <w:rsid w:val="00A379D0"/>
    <w:rsid w:val="00A37C9E"/>
    <w:rsid w:val="00A40172"/>
    <w:rsid w:val="00A41256"/>
    <w:rsid w:val="00A412A9"/>
    <w:rsid w:val="00A42313"/>
    <w:rsid w:val="00A423A4"/>
    <w:rsid w:val="00A423C2"/>
    <w:rsid w:val="00A430D5"/>
    <w:rsid w:val="00A45C89"/>
    <w:rsid w:val="00A4615C"/>
    <w:rsid w:val="00A474EC"/>
    <w:rsid w:val="00A47B92"/>
    <w:rsid w:val="00A506B2"/>
    <w:rsid w:val="00A5235A"/>
    <w:rsid w:val="00A524AC"/>
    <w:rsid w:val="00A5309B"/>
    <w:rsid w:val="00A533EB"/>
    <w:rsid w:val="00A54D3D"/>
    <w:rsid w:val="00A554BC"/>
    <w:rsid w:val="00A555F1"/>
    <w:rsid w:val="00A5588E"/>
    <w:rsid w:val="00A565BC"/>
    <w:rsid w:val="00A60689"/>
    <w:rsid w:val="00A611B7"/>
    <w:rsid w:val="00A612EF"/>
    <w:rsid w:val="00A618CA"/>
    <w:rsid w:val="00A61B84"/>
    <w:rsid w:val="00A62FAB"/>
    <w:rsid w:val="00A65058"/>
    <w:rsid w:val="00A67508"/>
    <w:rsid w:val="00A6754F"/>
    <w:rsid w:val="00A67818"/>
    <w:rsid w:val="00A719C1"/>
    <w:rsid w:val="00A71A2E"/>
    <w:rsid w:val="00A71DE5"/>
    <w:rsid w:val="00A71EF6"/>
    <w:rsid w:val="00A72727"/>
    <w:rsid w:val="00A752E9"/>
    <w:rsid w:val="00A770FC"/>
    <w:rsid w:val="00A77234"/>
    <w:rsid w:val="00A77495"/>
    <w:rsid w:val="00A77497"/>
    <w:rsid w:val="00A800BE"/>
    <w:rsid w:val="00A8048B"/>
    <w:rsid w:val="00A80D24"/>
    <w:rsid w:val="00A81496"/>
    <w:rsid w:val="00A81803"/>
    <w:rsid w:val="00A8223F"/>
    <w:rsid w:val="00A8267A"/>
    <w:rsid w:val="00A82C11"/>
    <w:rsid w:val="00A82CA6"/>
    <w:rsid w:val="00A82E7C"/>
    <w:rsid w:val="00A83C48"/>
    <w:rsid w:val="00A84405"/>
    <w:rsid w:val="00A85263"/>
    <w:rsid w:val="00A859F8"/>
    <w:rsid w:val="00A87984"/>
    <w:rsid w:val="00A87C06"/>
    <w:rsid w:val="00A900E4"/>
    <w:rsid w:val="00A9034B"/>
    <w:rsid w:val="00A90B52"/>
    <w:rsid w:val="00A916D9"/>
    <w:rsid w:val="00A91B02"/>
    <w:rsid w:val="00A91B1D"/>
    <w:rsid w:val="00A928B8"/>
    <w:rsid w:val="00A94349"/>
    <w:rsid w:val="00A94C53"/>
    <w:rsid w:val="00A953B1"/>
    <w:rsid w:val="00A95D15"/>
    <w:rsid w:val="00AA0C8D"/>
    <w:rsid w:val="00AA0F44"/>
    <w:rsid w:val="00AA1190"/>
    <w:rsid w:val="00AA1356"/>
    <w:rsid w:val="00AA225A"/>
    <w:rsid w:val="00AA26E5"/>
    <w:rsid w:val="00AA2A98"/>
    <w:rsid w:val="00AA2B7D"/>
    <w:rsid w:val="00AA3AE0"/>
    <w:rsid w:val="00AA3B4D"/>
    <w:rsid w:val="00AA4AA9"/>
    <w:rsid w:val="00AA59F7"/>
    <w:rsid w:val="00AA640C"/>
    <w:rsid w:val="00AA6B7E"/>
    <w:rsid w:val="00AA6C47"/>
    <w:rsid w:val="00AA6DD7"/>
    <w:rsid w:val="00AA753F"/>
    <w:rsid w:val="00AA7DC2"/>
    <w:rsid w:val="00AA7DE4"/>
    <w:rsid w:val="00AB084F"/>
    <w:rsid w:val="00AB167A"/>
    <w:rsid w:val="00AB1C99"/>
    <w:rsid w:val="00AB1E3A"/>
    <w:rsid w:val="00AB26AA"/>
    <w:rsid w:val="00AB2B27"/>
    <w:rsid w:val="00AB2BB6"/>
    <w:rsid w:val="00AB30B2"/>
    <w:rsid w:val="00AB340D"/>
    <w:rsid w:val="00AB4A07"/>
    <w:rsid w:val="00AB4C7A"/>
    <w:rsid w:val="00AB59E5"/>
    <w:rsid w:val="00AB5E8B"/>
    <w:rsid w:val="00AB689D"/>
    <w:rsid w:val="00AC01B2"/>
    <w:rsid w:val="00AC02BA"/>
    <w:rsid w:val="00AC02CD"/>
    <w:rsid w:val="00AC16D9"/>
    <w:rsid w:val="00AC1A90"/>
    <w:rsid w:val="00AC2654"/>
    <w:rsid w:val="00AC321E"/>
    <w:rsid w:val="00AC338C"/>
    <w:rsid w:val="00AC3EF6"/>
    <w:rsid w:val="00AC4159"/>
    <w:rsid w:val="00AC6338"/>
    <w:rsid w:val="00AC679E"/>
    <w:rsid w:val="00AC6F3A"/>
    <w:rsid w:val="00AD03D0"/>
    <w:rsid w:val="00AD0B31"/>
    <w:rsid w:val="00AD14E0"/>
    <w:rsid w:val="00AD26AF"/>
    <w:rsid w:val="00AD3056"/>
    <w:rsid w:val="00AD338A"/>
    <w:rsid w:val="00AD36EB"/>
    <w:rsid w:val="00AD4BB7"/>
    <w:rsid w:val="00AD4C13"/>
    <w:rsid w:val="00AD4CF4"/>
    <w:rsid w:val="00AD5E13"/>
    <w:rsid w:val="00AD7F7E"/>
    <w:rsid w:val="00AE1299"/>
    <w:rsid w:val="00AE163E"/>
    <w:rsid w:val="00AE1800"/>
    <w:rsid w:val="00AE1BDE"/>
    <w:rsid w:val="00AE2AAC"/>
    <w:rsid w:val="00AE3547"/>
    <w:rsid w:val="00AE3DA4"/>
    <w:rsid w:val="00AE4A10"/>
    <w:rsid w:val="00AE5147"/>
    <w:rsid w:val="00AE5B70"/>
    <w:rsid w:val="00AE63A1"/>
    <w:rsid w:val="00AE6A9B"/>
    <w:rsid w:val="00AE6AB2"/>
    <w:rsid w:val="00AE7EF8"/>
    <w:rsid w:val="00AF00FB"/>
    <w:rsid w:val="00AF0744"/>
    <w:rsid w:val="00AF0E83"/>
    <w:rsid w:val="00AF26A7"/>
    <w:rsid w:val="00AF32F2"/>
    <w:rsid w:val="00AF51FD"/>
    <w:rsid w:val="00AF55DD"/>
    <w:rsid w:val="00AF580E"/>
    <w:rsid w:val="00AF58BE"/>
    <w:rsid w:val="00AF6ED2"/>
    <w:rsid w:val="00B009DD"/>
    <w:rsid w:val="00B01D34"/>
    <w:rsid w:val="00B01DE5"/>
    <w:rsid w:val="00B02477"/>
    <w:rsid w:val="00B025F1"/>
    <w:rsid w:val="00B02F0E"/>
    <w:rsid w:val="00B03202"/>
    <w:rsid w:val="00B03355"/>
    <w:rsid w:val="00B04345"/>
    <w:rsid w:val="00B04874"/>
    <w:rsid w:val="00B052EA"/>
    <w:rsid w:val="00B05604"/>
    <w:rsid w:val="00B06B3D"/>
    <w:rsid w:val="00B07974"/>
    <w:rsid w:val="00B07AC4"/>
    <w:rsid w:val="00B07D95"/>
    <w:rsid w:val="00B11515"/>
    <w:rsid w:val="00B11648"/>
    <w:rsid w:val="00B11A37"/>
    <w:rsid w:val="00B12020"/>
    <w:rsid w:val="00B149AE"/>
    <w:rsid w:val="00B16899"/>
    <w:rsid w:val="00B168F5"/>
    <w:rsid w:val="00B17FA3"/>
    <w:rsid w:val="00B20005"/>
    <w:rsid w:val="00B206DF"/>
    <w:rsid w:val="00B20C09"/>
    <w:rsid w:val="00B21C33"/>
    <w:rsid w:val="00B21C5E"/>
    <w:rsid w:val="00B22BAA"/>
    <w:rsid w:val="00B23DB6"/>
    <w:rsid w:val="00B25346"/>
    <w:rsid w:val="00B25472"/>
    <w:rsid w:val="00B2603A"/>
    <w:rsid w:val="00B26BA9"/>
    <w:rsid w:val="00B26BE6"/>
    <w:rsid w:val="00B273F9"/>
    <w:rsid w:val="00B27C69"/>
    <w:rsid w:val="00B27CAA"/>
    <w:rsid w:val="00B30930"/>
    <w:rsid w:val="00B309F6"/>
    <w:rsid w:val="00B31020"/>
    <w:rsid w:val="00B32270"/>
    <w:rsid w:val="00B32430"/>
    <w:rsid w:val="00B33B75"/>
    <w:rsid w:val="00B34AAF"/>
    <w:rsid w:val="00B34B2F"/>
    <w:rsid w:val="00B35D60"/>
    <w:rsid w:val="00B35E45"/>
    <w:rsid w:val="00B36558"/>
    <w:rsid w:val="00B3663C"/>
    <w:rsid w:val="00B37547"/>
    <w:rsid w:val="00B37733"/>
    <w:rsid w:val="00B42E46"/>
    <w:rsid w:val="00B43B07"/>
    <w:rsid w:val="00B43D10"/>
    <w:rsid w:val="00B43FBE"/>
    <w:rsid w:val="00B441C2"/>
    <w:rsid w:val="00B44A4A"/>
    <w:rsid w:val="00B4522B"/>
    <w:rsid w:val="00B455FC"/>
    <w:rsid w:val="00B45E7C"/>
    <w:rsid w:val="00B4605F"/>
    <w:rsid w:val="00B46934"/>
    <w:rsid w:val="00B46DC9"/>
    <w:rsid w:val="00B471DD"/>
    <w:rsid w:val="00B50170"/>
    <w:rsid w:val="00B50973"/>
    <w:rsid w:val="00B5149A"/>
    <w:rsid w:val="00B514B0"/>
    <w:rsid w:val="00B51AAB"/>
    <w:rsid w:val="00B51F6C"/>
    <w:rsid w:val="00B52576"/>
    <w:rsid w:val="00B525FB"/>
    <w:rsid w:val="00B53330"/>
    <w:rsid w:val="00B53370"/>
    <w:rsid w:val="00B53865"/>
    <w:rsid w:val="00B53AE3"/>
    <w:rsid w:val="00B53C11"/>
    <w:rsid w:val="00B5485F"/>
    <w:rsid w:val="00B54C30"/>
    <w:rsid w:val="00B5627F"/>
    <w:rsid w:val="00B5785A"/>
    <w:rsid w:val="00B61317"/>
    <w:rsid w:val="00B619FE"/>
    <w:rsid w:val="00B624B4"/>
    <w:rsid w:val="00B62730"/>
    <w:rsid w:val="00B636D0"/>
    <w:rsid w:val="00B64478"/>
    <w:rsid w:val="00B64CD9"/>
    <w:rsid w:val="00B64D7B"/>
    <w:rsid w:val="00B65D03"/>
    <w:rsid w:val="00B65F46"/>
    <w:rsid w:val="00B65F82"/>
    <w:rsid w:val="00B66026"/>
    <w:rsid w:val="00B7108D"/>
    <w:rsid w:val="00B715E4"/>
    <w:rsid w:val="00B73141"/>
    <w:rsid w:val="00B73191"/>
    <w:rsid w:val="00B73915"/>
    <w:rsid w:val="00B739C4"/>
    <w:rsid w:val="00B73AEB"/>
    <w:rsid w:val="00B73B18"/>
    <w:rsid w:val="00B73FFA"/>
    <w:rsid w:val="00B74077"/>
    <w:rsid w:val="00B7469F"/>
    <w:rsid w:val="00B748A4"/>
    <w:rsid w:val="00B74BB6"/>
    <w:rsid w:val="00B74F3C"/>
    <w:rsid w:val="00B75276"/>
    <w:rsid w:val="00B7547B"/>
    <w:rsid w:val="00B757AD"/>
    <w:rsid w:val="00B75FE1"/>
    <w:rsid w:val="00B7630B"/>
    <w:rsid w:val="00B76626"/>
    <w:rsid w:val="00B7700A"/>
    <w:rsid w:val="00B8033E"/>
    <w:rsid w:val="00B80EC2"/>
    <w:rsid w:val="00B80EC5"/>
    <w:rsid w:val="00B810B5"/>
    <w:rsid w:val="00B82457"/>
    <w:rsid w:val="00B82BCD"/>
    <w:rsid w:val="00B842E4"/>
    <w:rsid w:val="00B84E4A"/>
    <w:rsid w:val="00B855FC"/>
    <w:rsid w:val="00B8568B"/>
    <w:rsid w:val="00B85A8B"/>
    <w:rsid w:val="00B86A4C"/>
    <w:rsid w:val="00B87577"/>
    <w:rsid w:val="00B875AB"/>
    <w:rsid w:val="00B877DF"/>
    <w:rsid w:val="00B91294"/>
    <w:rsid w:val="00B9154B"/>
    <w:rsid w:val="00B91865"/>
    <w:rsid w:val="00B91F96"/>
    <w:rsid w:val="00B92480"/>
    <w:rsid w:val="00B926A1"/>
    <w:rsid w:val="00B927C4"/>
    <w:rsid w:val="00B946B5"/>
    <w:rsid w:val="00B950D8"/>
    <w:rsid w:val="00B96956"/>
    <w:rsid w:val="00B974C2"/>
    <w:rsid w:val="00BA04BC"/>
    <w:rsid w:val="00BA1336"/>
    <w:rsid w:val="00BA18AC"/>
    <w:rsid w:val="00BA1E11"/>
    <w:rsid w:val="00BA2797"/>
    <w:rsid w:val="00BA3621"/>
    <w:rsid w:val="00BA3627"/>
    <w:rsid w:val="00BA429D"/>
    <w:rsid w:val="00BA4325"/>
    <w:rsid w:val="00BA486F"/>
    <w:rsid w:val="00BA5318"/>
    <w:rsid w:val="00BA596F"/>
    <w:rsid w:val="00BA5A37"/>
    <w:rsid w:val="00BA5A47"/>
    <w:rsid w:val="00BA5E87"/>
    <w:rsid w:val="00BA6795"/>
    <w:rsid w:val="00BA69C1"/>
    <w:rsid w:val="00BA7382"/>
    <w:rsid w:val="00BB0B09"/>
    <w:rsid w:val="00BB0B56"/>
    <w:rsid w:val="00BB2C9C"/>
    <w:rsid w:val="00BB2D69"/>
    <w:rsid w:val="00BB4822"/>
    <w:rsid w:val="00BB6C09"/>
    <w:rsid w:val="00BB7725"/>
    <w:rsid w:val="00BC0FD0"/>
    <w:rsid w:val="00BC1198"/>
    <w:rsid w:val="00BC2A94"/>
    <w:rsid w:val="00BC37CE"/>
    <w:rsid w:val="00BC385D"/>
    <w:rsid w:val="00BC39E4"/>
    <w:rsid w:val="00BC49CD"/>
    <w:rsid w:val="00BC7A3F"/>
    <w:rsid w:val="00BC7D30"/>
    <w:rsid w:val="00BD0046"/>
    <w:rsid w:val="00BD02A3"/>
    <w:rsid w:val="00BD039A"/>
    <w:rsid w:val="00BD0888"/>
    <w:rsid w:val="00BD1189"/>
    <w:rsid w:val="00BD1D66"/>
    <w:rsid w:val="00BD1EB0"/>
    <w:rsid w:val="00BD3674"/>
    <w:rsid w:val="00BD47A9"/>
    <w:rsid w:val="00BD4FA0"/>
    <w:rsid w:val="00BD5500"/>
    <w:rsid w:val="00BD5974"/>
    <w:rsid w:val="00BD5BD3"/>
    <w:rsid w:val="00BD5C72"/>
    <w:rsid w:val="00BD60BC"/>
    <w:rsid w:val="00BD6122"/>
    <w:rsid w:val="00BD6548"/>
    <w:rsid w:val="00BD6FF6"/>
    <w:rsid w:val="00BD7051"/>
    <w:rsid w:val="00BD7554"/>
    <w:rsid w:val="00BD7938"/>
    <w:rsid w:val="00BE0540"/>
    <w:rsid w:val="00BE2700"/>
    <w:rsid w:val="00BE30B9"/>
    <w:rsid w:val="00BE5A35"/>
    <w:rsid w:val="00BE63FA"/>
    <w:rsid w:val="00BE7D1C"/>
    <w:rsid w:val="00BF09FE"/>
    <w:rsid w:val="00BF0B77"/>
    <w:rsid w:val="00BF130A"/>
    <w:rsid w:val="00BF1559"/>
    <w:rsid w:val="00BF182E"/>
    <w:rsid w:val="00BF2FB9"/>
    <w:rsid w:val="00BF3557"/>
    <w:rsid w:val="00BF3875"/>
    <w:rsid w:val="00BF4821"/>
    <w:rsid w:val="00BF4A1A"/>
    <w:rsid w:val="00BF6463"/>
    <w:rsid w:val="00BF6FD2"/>
    <w:rsid w:val="00BF73A3"/>
    <w:rsid w:val="00BF76BA"/>
    <w:rsid w:val="00C00307"/>
    <w:rsid w:val="00C00F61"/>
    <w:rsid w:val="00C01D12"/>
    <w:rsid w:val="00C01D85"/>
    <w:rsid w:val="00C023F5"/>
    <w:rsid w:val="00C02541"/>
    <w:rsid w:val="00C049C9"/>
    <w:rsid w:val="00C05D5B"/>
    <w:rsid w:val="00C05D69"/>
    <w:rsid w:val="00C07C6A"/>
    <w:rsid w:val="00C07CF9"/>
    <w:rsid w:val="00C1042D"/>
    <w:rsid w:val="00C1092A"/>
    <w:rsid w:val="00C11134"/>
    <w:rsid w:val="00C12BAB"/>
    <w:rsid w:val="00C12F09"/>
    <w:rsid w:val="00C13873"/>
    <w:rsid w:val="00C13A86"/>
    <w:rsid w:val="00C14009"/>
    <w:rsid w:val="00C150D1"/>
    <w:rsid w:val="00C15EF4"/>
    <w:rsid w:val="00C15FC1"/>
    <w:rsid w:val="00C16784"/>
    <w:rsid w:val="00C17510"/>
    <w:rsid w:val="00C200BC"/>
    <w:rsid w:val="00C204FF"/>
    <w:rsid w:val="00C21738"/>
    <w:rsid w:val="00C225E5"/>
    <w:rsid w:val="00C22A9E"/>
    <w:rsid w:val="00C235FC"/>
    <w:rsid w:val="00C2397F"/>
    <w:rsid w:val="00C23E80"/>
    <w:rsid w:val="00C24523"/>
    <w:rsid w:val="00C24767"/>
    <w:rsid w:val="00C249A8"/>
    <w:rsid w:val="00C26078"/>
    <w:rsid w:val="00C30B2B"/>
    <w:rsid w:val="00C30B79"/>
    <w:rsid w:val="00C311E6"/>
    <w:rsid w:val="00C31559"/>
    <w:rsid w:val="00C326C2"/>
    <w:rsid w:val="00C330ED"/>
    <w:rsid w:val="00C3521E"/>
    <w:rsid w:val="00C36241"/>
    <w:rsid w:val="00C362CB"/>
    <w:rsid w:val="00C36483"/>
    <w:rsid w:val="00C37F7E"/>
    <w:rsid w:val="00C40DA1"/>
    <w:rsid w:val="00C419FC"/>
    <w:rsid w:val="00C422F9"/>
    <w:rsid w:val="00C43584"/>
    <w:rsid w:val="00C43730"/>
    <w:rsid w:val="00C43BEB"/>
    <w:rsid w:val="00C43E3D"/>
    <w:rsid w:val="00C44351"/>
    <w:rsid w:val="00C44D8B"/>
    <w:rsid w:val="00C4744A"/>
    <w:rsid w:val="00C4797B"/>
    <w:rsid w:val="00C47FC3"/>
    <w:rsid w:val="00C50956"/>
    <w:rsid w:val="00C50974"/>
    <w:rsid w:val="00C50AEF"/>
    <w:rsid w:val="00C50C95"/>
    <w:rsid w:val="00C51180"/>
    <w:rsid w:val="00C518F1"/>
    <w:rsid w:val="00C51E3E"/>
    <w:rsid w:val="00C521B3"/>
    <w:rsid w:val="00C536E6"/>
    <w:rsid w:val="00C540A3"/>
    <w:rsid w:val="00C54C49"/>
    <w:rsid w:val="00C5594A"/>
    <w:rsid w:val="00C57564"/>
    <w:rsid w:val="00C57D0B"/>
    <w:rsid w:val="00C61348"/>
    <w:rsid w:val="00C61B53"/>
    <w:rsid w:val="00C62426"/>
    <w:rsid w:val="00C63D27"/>
    <w:rsid w:val="00C64260"/>
    <w:rsid w:val="00C648DD"/>
    <w:rsid w:val="00C64F55"/>
    <w:rsid w:val="00C66CD8"/>
    <w:rsid w:val="00C672E4"/>
    <w:rsid w:val="00C676E2"/>
    <w:rsid w:val="00C67E3C"/>
    <w:rsid w:val="00C7029C"/>
    <w:rsid w:val="00C702BC"/>
    <w:rsid w:val="00C714F9"/>
    <w:rsid w:val="00C715F2"/>
    <w:rsid w:val="00C7336E"/>
    <w:rsid w:val="00C73D05"/>
    <w:rsid w:val="00C76797"/>
    <w:rsid w:val="00C76DAC"/>
    <w:rsid w:val="00C772D7"/>
    <w:rsid w:val="00C77402"/>
    <w:rsid w:val="00C80288"/>
    <w:rsid w:val="00C8037A"/>
    <w:rsid w:val="00C80B2B"/>
    <w:rsid w:val="00C80BBC"/>
    <w:rsid w:val="00C80CF3"/>
    <w:rsid w:val="00C8130C"/>
    <w:rsid w:val="00C813B9"/>
    <w:rsid w:val="00C82818"/>
    <w:rsid w:val="00C829CB"/>
    <w:rsid w:val="00C8358A"/>
    <w:rsid w:val="00C83A56"/>
    <w:rsid w:val="00C83EBD"/>
    <w:rsid w:val="00C845CC"/>
    <w:rsid w:val="00C8476B"/>
    <w:rsid w:val="00C84F64"/>
    <w:rsid w:val="00C84F97"/>
    <w:rsid w:val="00C85073"/>
    <w:rsid w:val="00C8542A"/>
    <w:rsid w:val="00C85462"/>
    <w:rsid w:val="00C86A29"/>
    <w:rsid w:val="00C87FE3"/>
    <w:rsid w:val="00C9002A"/>
    <w:rsid w:val="00C900DE"/>
    <w:rsid w:val="00C90D9D"/>
    <w:rsid w:val="00C91C9C"/>
    <w:rsid w:val="00C92F5D"/>
    <w:rsid w:val="00C93067"/>
    <w:rsid w:val="00C94828"/>
    <w:rsid w:val="00C9660E"/>
    <w:rsid w:val="00C9713C"/>
    <w:rsid w:val="00C97A00"/>
    <w:rsid w:val="00CA052D"/>
    <w:rsid w:val="00CA249C"/>
    <w:rsid w:val="00CA2D9D"/>
    <w:rsid w:val="00CA4532"/>
    <w:rsid w:val="00CA4563"/>
    <w:rsid w:val="00CA4ABE"/>
    <w:rsid w:val="00CA4EEA"/>
    <w:rsid w:val="00CA515D"/>
    <w:rsid w:val="00CA5298"/>
    <w:rsid w:val="00CA6033"/>
    <w:rsid w:val="00CA6E1E"/>
    <w:rsid w:val="00CA723F"/>
    <w:rsid w:val="00CA7D5B"/>
    <w:rsid w:val="00CB1116"/>
    <w:rsid w:val="00CB14A6"/>
    <w:rsid w:val="00CB1574"/>
    <w:rsid w:val="00CB1C7C"/>
    <w:rsid w:val="00CB248D"/>
    <w:rsid w:val="00CB35CD"/>
    <w:rsid w:val="00CB39EE"/>
    <w:rsid w:val="00CB3ABF"/>
    <w:rsid w:val="00CB3BB3"/>
    <w:rsid w:val="00CB453C"/>
    <w:rsid w:val="00CB4A28"/>
    <w:rsid w:val="00CB6324"/>
    <w:rsid w:val="00CB659A"/>
    <w:rsid w:val="00CB6D0C"/>
    <w:rsid w:val="00CB72C9"/>
    <w:rsid w:val="00CC0FF7"/>
    <w:rsid w:val="00CC1290"/>
    <w:rsid w:val="00CC2EC8"/>
    <w:rsid w:val="00CC3862"/>
    <w:rsid w:val="00CC46D2"/>
    <w:rsid w:val="00CC52DF"/>
    <w:rsid w:val="00CC71EB"/>
    <w:rsid w:val="00CC7487"/>
    <w:rsid w:val="00CC75FD"/>
    <w:rsid w:val="00CD049D"/>
    <w:rsid w:val="00CD06D3"/>
    <w:rsid w:val="00CD3384"/>
    <w:rsid w:val="00CD3559"/>
    <w:rsid w:val="00CD388F"/>
    <w:rsid w:val="00CD420A"/>
    <w:rsid w:val="00CD4F69"/>
    <w:rsid w:val="00CD517D"/>
    <w:rsid w:val="00CD55AC"/>
    <w:rsid w:val="00CD5893"/>
    <w:rsid w:val="00CD5B8C"/>
    <w:rsid w:val="00CD5E63"/>
    <w:rsid w:val="00CD5F77"/>
    <w:rsid w:val="00CD6D51"/>
    <w:rsid w:val="00CD6D61"/>
    <w:rsid w:val="00CD724F"/>
    <w:rsid w:val="00CD7BBA"/>
    <w:rsid w:val="00CE0A47"/>
    <w:rsid w:val="00CE0C1B"/>
    <w:rsid w:val="00CE1334"/>
    <w:rsid w:val="00CE17E0"/>
    <w:rsid w:val="00CE1941"/>
    <w:rsid w:val="00CE1989"/>
    <w:rsid w:val="00CE1BDF"/>
    <w:rsid w:val="00CE3596"/>
    <w:rsid w:val="00CE373D"/>
    <w:rsid w:val="00CE3E37"/>
    <w:rsid w:val="00CE4016"/>
    <w:rsid w:val="00CE4785"/>
    <w:rsid w:val="00CE47DA"/>
    <w:rsid w:val="00CE695B"/>
    <w:rsid w:val="00CE766C"/>
    <w:rsid w:val="00CE7D12"/>
    <w:rsid w:val="00CF0368"/>
    <w:rsid w:val="00CF14E7"/>
    <w:rsid w:val="00CF1EF9"/>
    <w:rsid w:val="00CF2103"/>
    <w:rsid w:val="00CF21C7"/>
    <w:rsid w:val="00CF2ABC"/>
    <w:rsid w:val="00CF2E98"/>
    <w:rsid w:val="00CF5E87"/>
    <w:rsid w:val="00CF74C6"/>
    <w:rsid w:val="00CF75EB"/>
    <w:rsid w:val="00CF7C8D"/>
    <w:rsid w:val="00D003E4"/>
    <w:rsid w:val="00D00501"/>
    <w:rsid w:val="00D007E8"/>
    <w:rsid w:val="00D01282"/>
    <w:rsid w:val="00D01FB4"/>
    <w:rsid w:val="00D02572"/>
    <w:rsid w:val="00D026E4"/>
    <w:rsid w:val="00D02ACA"/>
    <w:rsid w:val="00D03AD1"/>
    <w:rsid w:val="00D03D5E"/>
    <w:rsid w:val="00D03DAF"/>
    <w:rsid w:val="00D05F70"/>
    <w:rsid w:val="00D07FC5"/>
    <w:rsid w:val="00D10783"/>
    <w:rsid w:val="00D1302E"/>
    <w:rsid w:val="00D14D52"/>
    <w:rsid w:val="00D16154"/>
    <w:rsid w:val="00D17674"/>
    <w:rsid w:val="00D210CB"/>
    <w:rsid w:val="00D21B0D"/>
    <w:rsid w:val="00D21D54"/>
    <w:rsid w:val="00D21D7F"/>
    <w:rsid w:val="00D21E73"/>
    <w:rsid w:val="00D2288C"/>
    <w:rsid w:val="00D22DE0"/>
    <w:rsid w:val="00D22F35"/>
    <w:rsid w:val="00D232DC"/>
    <w:rsid w:val="00D23A0C"/>
    <w:rsid w:val="00D24FDB"/>
    <w:rsid w:val="00D25284"/>
    <w:rsid w:val="00D257AD"/>
    <w:rsid w:val="00D25958"/>
    <w:rsid w:val="00D259DA"/>
    <w:rsid w:val="00D25FDE"/>
    <w:rsid w:val="00D26C6C"/>
    <w:rsid w:val="00D278BD"/>
    <w:rsid w:val="00D31ABD"/>
    <w:rsid w:val="00D32A40"/>
    <w:rsid w:val="00D32C1A"/>
    <w:rsid w:val="00D33635"/>
    <w:rsid w:val="00D3429E"/>
    <w:rsid w:val="00D344F5"/>
    <w:rsid w:val="00D35154"/>
    <w:rsid w:val="00D35C0F"/>
    <w:rsid w:val="00D370FC"/>
    <w:rsid w:val="00D379AD"/>
    <w:rsid w:val="00D37A31"/>
    <w:rsid w:val="00D4091C"/>
    <w:rsid w:val="00D41C6B"/>
    <w:rsid w:val="00D41CF1"/>
    <w:rsid w:val="00D41DC5"/>
    <w:rsid w:val="00D42A47"/>
    <w:rsid w:val="00D42BF5"/>
    <w:rsid w:val="00D42E4D"/>
    <w:rsid w:val="00D431D0"/>
    <w:rsid w:val="00D4570B"/>
    <w:rsid w:val="00D459C3"/>
    <w:rsid w:val="00D465F4"/>
    <w:rsid w:val="00D46B01"/>
    <w:rsid w:val="00D46E83"/>
    <w:rsid w:val="00D47E05"/>
    <w:rsid w:val="00D5004B"/>
    <w:rsid w:val="00D50A5F"/>
    <w:rsid w:val="00D512CD"/>
    <w:rsid w:val="00D517FE"/>
    <w:rsid w:val="00D519DA"/>
    <w:rsid w:val="00D52FDD"/>
    <w:rsid w:val="00D554F6"/>
    <w:rsid w:val="00D56F2A"/>
    <w:rsid w:val="00D5742A"/>
    <w:rsid w:val="00D577B5"/>
    <w:rsid w:val="00D57823"/>
    <w:rsid w:val="00D57F83"/>
    <w:rsid w:val="00D61B09"/>
    <w:rsid w:val="00D61BD8"/>
    <w:rsid w:val="00D62610"/>
    <w:rsid w:val="00D62AD7"/>
    <w:rsid w:val="00D6322B"/>
    <w:rsid w:val="00D634CA"/>
    <w:rsid w:val="00D65282"/>
    <w:rsid w:val="00D652D0"/>
    <w:rsid w:val="00D661FC"/>
    <w:rsid w:val="00D66B64"/>
    <w:rsid w:val="00D672B0"/>
    <w:rsid w:val="00D67CB3"/>
    <w:rsid w:val="00D70065"/>
    <w:rsid w:val="00D70500"/>
    <w:rsid w:val="00D712C0"/>
    <w:rsid w:val="00D721E5"/>
    <w:rsid w:val="00D72BA1"/>
    <w:rsid w:val="00D72C90"/>
    <w:rsid w:val="00D74FDA"/>
    <w:rsid w:val="00D75022"/>
    <w:rsid w:val="00D7554E"/>
    <w:rsid w:val="00D76051"/>
    <w:rsid w:val="00D7625A"/>
    <w:rsid w:val="00D766F0"/>
    <w:rsid w:val="00D76C73"/>
    <w:rsid w:val="00D77614"/>
    <w:rsid w:val="00D80DED"/>
    <w:rsid w:val="00D81693"/>
    <w:rsid w:val="00D822ED"/>
    <w:rsid w:val="00D82605"/>
    <w:rsid w:val="00D834FB"/>
    <w:rsid w:val="00D83816"/>
    <w:rsid w:val="00D84085"/>
    <w:rsid w:val="00D855DC"/>
    <w:rsid w:val="00D85B68"/>
    <w:rsid w:val="00D86409"/>
    <w:rsid w:val="00D87005"/>
    <w:rsid w:val="00D878E5"/>
    <w:rsid w:val="00D87D9A"/>
    <w:rsid w:val="00D9157A"/>
    <w:rsid w:val="00D91674"/>
    <w:rsid w:val="00D918A3"/>
    <w:rsid w:val="00D91FBF"/>
    <w:rsid w:val="00D924B9"/>
    <w:rsid w:val="00D92B3B"/>
    <w:rsid w:val="00D92BDD"/>
    <w:rsid w:val="00D94665"/>
    <w:rsid w:val="00D95C6A"/>
    <w:rsid w:val="00D95E1D"/>
    <w:rsid w:val="00D97489"/>
    <w:rsid w:val="00D97605"/>
    <w:rsid w:val="00DA10FD"/>
    <w:rsid w:val="00DA2382"/>
    <w:rsid w:val="00DA24F2"/>
    <w:rsid w:val="00DA3337"/>
    <w:rsid w:val="00DA3565"/>
    <w:rsid w:val="00DA4229"/>
    <w:rsid w:val="00DA4BD2"/>
    <w:rsid w:val="00DA56DB"/>
    <w:rsid w:val="00DA63B3"/>
    <w:rsid w:val="00DA6ABB"/>
    <w:rsid w:val="00DA6C25"/>
    <w:rsid w:val="00DA7563"/>
    <w:rsid w:val="00DA7D8D"/>
    <w:rsid w:val="00DB070F"/>
    <w:rsid w:val="00DB20E0"/>
    <w:rsid w:val="00DB2810"/>
    <w:rsid w:val="00DB2902"/>
    <w:rsid w:val="00DB2B70"/>
    <w:rsid w:val="00DB3CC7"/>
    <w:rsid w:val="00DB4649"/>
    <w:rsid w:val="00DB5CE9"/>
    <w:rsid w:val="00DB6421"/>
    <w:rsid w:val="00DB73AF"/>
    <w:rsid w:val="00DC1D3A"/>
    <w:rsid w:val="00DC1DF8"/>
    <w:rsid w:val="00DC30D1"/>
    <w:rsid w:val="00DC37C1"/>
    <w:rsid w:val="00DC476F"/>
    <w:rsid w:val="00DC4CDE"/>
    <w:rsid w:val="00DC628C"/>
    <w:rsid w:val="00DC63A5"/>
    <w:rsid w:val="00DC6C52"/>
    <w:rsid w:val="00DD0BD6"/>
    <w:rsid w:val="00DD13E0"/>
    <w:rsid w:val="00DD1B1F"/>
    <w:rsid w:val="00DD1DBA"/>
    <w:rsid w:val="00DD3BF1"/>
    <w:rsid w:val="00DD3C95"/>
    <w:rsid w:val="00DD4147"/>
    <w:rsid w:val="00DD609F"/>
    <w:rsid w:val="00DD7A8E"/>
    <w:rsid w:val="00DE047A"/>
    <w:rsid w:val="00DE0DC9"/>
    <w:rsid w:val="00DE15E9"/>
    <w:rsid w:val="00DE240E"/>
    <w:rsid w:val="00DE2763"/>
    <w:rsid w:val="00DE38B2"/>
    <w:rsid w:val="00DE4141"/>
    <w:rsid w:val="00DE50F8"/>
    <w:rsid w:val="00DE5A18"/>
    <w:rsid w:val="00DE655C"/>
    <w:rsid w:val="00DF012D"/>
    <w:rsid w:val="00DF0410"/>
    <w:rsid w:val="00DF33AB"/>
    <w:rsid w:val="00DF358E"/>
    <w:rsid w:val="00DF37B5"/>
    <w:rsid w:val="00DF3FBD"/>
    <w:rsid w:val="00DF481D"/>
    <w:rsid w:val="00DF4DCD"/>
    <w:rsid w:val="00DF53F4"/>
    <w:rsid w:val="00DF5F69"/>
    <w:rsid w:val="00DF71F9"/>
    <w:rsid w:val="00DF7966"/>
    <w:rsid w:val="00DF7E48"/>
    <w:rsid w:val="00E0127D"/>
    <w:rsid w:val="00E017B3"/>
    <w:rsid w:val="00E01CDF"/>
    <w:rsid w:val="00E01F5B"/>
    <w:rsid w:val="00E0242A"/>
    <w:rsid w:val="00E029A8"/>
    <w:rsid w:val="00E02C68"/>
    <w:rsid w:val="00E02E7A"/>
    <w:rsid w:val="00E04827"/>
    <w:rsid w:val="00E05030"/>
    <w:rsid w:val="00E05D3E"/>
    <w:rsid w:val="00E064F4"/>
    <w:rsid w:val="00E06992"/>
    <w:rsid w:val="00E06C99"/>
    <w:rsid w:val="00E12BE5"/>
    <w:rsid w:val="00E13321"/>
    <w:rsid w:val="00E13AFD"/>
    <w:rsid w:val="00E1666E"/>
    <w:rsid w:val="00E17169"/>
    <w:rsid w:val="00E17E15"/>
    <w:rsid w:val="00E2140F"/>
    <w:rsid w:val="00E221E2"/>
    <w:rsid w:val="00E2270A"/>
    <w:rsid w:val="00E22EAA"/>
    <w:rsid w:val="00E23023"/>
    <w:rsid w:val="00E26963"/>
    <w:rsid w:val="00E27A32"/>
    <w:rsid w:val="00E30A8E"/>
    <w:rsid w:val="00E30C8D"/>
    <w:rsid w:val="00E316D0"/>
    <w:rsid w:val="00E32B10"/>
    <w:rsid w:val="00E33C4E"/>
    <w:rsid w:val="00E343C7"/>
    <w:rsid w:val="00E3464A"/>
    <w:rsid w:val="00E35A52"/>
    <w:rsid w:val="00E35FA6"/>
    <w:rsid w:val="00E35FC1"/>
    <w:rsid w:val="00E36281"/>
    <w:rsid w:val="00E36AC0"/>
    <w:rsid w:val="00E37242"/>
    <w:rsid w:val="00E37A9F"/>
    <w:rsid w:val="00E37CFA"/>
    <w:rsid w:val="00E41633"/>
    <w:rsid w:val="00E41683"/>
    <w:rsid w:val="00E41A30"/>
    <w:rsid w:val="00E42633"/>
    <w:rsid w:val="00E42B5A"/>
    <w:rsid w:val="00E42C45"/>
    <w:rsid w:val="00E43549"/>
    <w:rsid w:val="00E4418A"/>
    <w:rsid w:val="00E4514B"/>
    <w:rsid w:val="00E45304"/>
    <w:rsid w:val="00E45500"/>
    <w:rsid w:val="00E46A1C"/>
    <w:rsid w:val="00E47018"/>
    <w:rsid w:val="00E475B3"/>
    <w:rsid w:val="00E506D1"/>
    <w:rsid w:val="00E50ABC"/>
    <w:rsid w:val="00E51795"/>
    <w:rsid w:val="00E52FC7"/>
    <w:rsid w:val="00E53FE4"/>
    <w:rsid w:val="00E541E5"/>
    <w:rsid w:val="00E54D86"/>
    <w:rsid w:val="00E556B2"/>
    <w:rsid w:val="00E55D26"/>
    <w:rsid w:val="00E5624A"/>
    <w:rsid w:val="00E56BFD"/>
    <w:rsid w:val="00E575D9"/>
    <w:rsid w:val="00E5790F"/>
    <w:rsid w:val="00E57C24"/>
    <w:rsid w:val="00E60060"/>
    <w:rsid w:val="00E6037E"/>
    <w:rsid w:val="00E608E1"/>
    <w:rsid w:val="00E60BD0"/>
    <w:rsid w:val="00E625F9"/>
    <w:rsid w:val="00E62C3F"/>
    <w:rsid w:val="00E64CDC"/>
    <w:rsid w:val="00E6651A"/>
    <w:rsid w:val="00E67B61"/>
    <w:rsid w:val="00E67E04"/>
    <w:rsid w:val="00E70D2B"/>
    <w:rsid w:val="00E7118E"/>
    <w:rsid w:val="00E727FE"/>
    <w:rsid w:val="00E7287E"/>
    <w:rsid w:val="00E72CF5"/>
    <w:rsid w:val="00E731BF"/>
    <w:rsid w:val="00E73E00"/>
    <w:rsid w:val="00E74282"/>
    <w:rsid w:val="00E74B2A"/>
    <w:rsid w:val="00E75E56"/>
    <w:rsid w:val="00E7624A"/>
    <w:rsid w:val="00E766A2"/>
    <w:rsid w:val="00E7674B"/>
    <w:rsid w:val="00E76CA0"/>
    <w:rsid w:val="00E77B2E"/>
    <w:rsid w:val="00E8170E"/>
    <w:rsid w:val="00E828B0"/>
    <w:rsid w:val="00E82E35"/>
    <w:rsid w:val="00E83268"/>
    <w:rsid w:val="00E83A93"/>
    <w:rsid w:val="00E85C84"/>
    <w:rsid w:val="00E864B2"/>
    <w:rsid w:val="00E86BDF"/>
    <w:rsid w:val="00E87F51"/>
    <w:rsid w:val="00E90AB8"/>
    <w:rsid w:val="00E90E7C"/>
    <w:rsid w:val="00E91AC0"/>
    <w:rsid w:val="00E91B96"/>
    <w:rsid w:val="00E923FF"/>
    <w:rsid w:val="00E94085"/>
    <w:rsid w:val="00E94215"/>
    <w:rsid w:val="00E942F6"/>
    <w:rsid w:val="00E945B3"/>
    <w:rsid w:val="00E9574F"/>
    <w:rsid w:val="00E9579B"/>
    <w:rsid w:val="00E964DA"/>
    <w:rsid w:val="00E96506"/>
    <w:rsid w:val="00E96E6C"/>
    <w:rsid w:val="00E97382"/>
    <w:rsid w:val="00E974A4"/>
    <w:rsid w:val="00E974D6"/>
    <w:rsid w:val="00E97C7A"/>
    <w:rsid w:val="00E97F45"/>
    <w:rsid w:val="00EA008A"/>
    <w:rsid w:val="00EA0093"/>
    <w:rsid w:val="00EA09A6"/>
    <w:rsid w:val="00EA1218"/>
    <w:rsid w:val="00EA1CA3"/>
    <w:rsid w:val="00EA1EFD"/>
    <w:rsid w:val="00EA2298"/>
    <w:rsid w:val="00EA2BC6"/>
    <w:rsid w:val="00EA39A9"/>
    <w:rsid w:val="00EA3A28"/>
    <w:rsid w:val="00EA3BD7"/>
    <w:rsid w:val="00EA411A"/>
    <w:rsid w:val="00EA4362"/>
    <w:rsid w:val="00EA441D"/>
    <w:rsid w:val="00EA54F1"/>
    <w:rsid w:val="00EA5CB6"/>
    <w:rsid w:val="00EA6824"/>
    <w:rsid w:val="00EA6F80"/>
    <w:rsid w:val="00EA7210"/>
    <w:rsid w:val="00EA72CD"/>
    <w:rsid w:val="00EA731D"/>
    <w:rsid w:val="00EA7C7F"/>
    <w:rsid w:val="00EA7F6D"/>
    <w:rsid w:val="00EB101A"/>
    <w:rsid w:val="00EB12E1"/>
    <w:rsid w:val="00EB131D"/>
    <w:rsid w:val="00EB45D1"/>
    <w:rsid w:val="00EB55FB"/>
    <w:rsid w:val="00EB5949"/>
    <w:rsid w:val="00EB5D0B"/>
    <w:rsid w:val="00EB5E10"/>
    <w:rsid w:val="00EB6A38"/>
    <w:rsid w:val="00EB77DB"/>
    <w:rsid w:val="00EB7FDA"/>
    <w:rsid w:val="00EC1DD2"/>
    <w:rsid w:val="00EC3488"/>
    <w:rsid w:val="00EC3DC2"/>
    <w:rsid w:val="00EC448D"/>
    <w:rsid w:val="00EC56AB"/>
    <w:rsid w:val="00EC69C2"/>
    <w:rsid w:val="00EC7983"/>
    <w:rsid w:val="00ED04A3"/>
    <w:rsid w:val="00ED04A4"/>
    <w:rsid w:val="00ED04DD"/>
    <w:rsid w:val="00ED0A30"/>
    <w:rsid w:val="00ED1433"/>
    <w:rsid w:val="00ED3CF6"/>
    <w:rsid w:val="00ED4447"/>
    <w:rsid w:val="00ED4795"/>
    <w:rsid w:val="00ED49A6"/>
    <w:rsid w:val="00ED6CDD"/>
    <w:rsid w:val="00ED6FA4"/>
    <w:rsid w:val="00ED7985"/>
    <w:rsid w:val="00EE00C1"/>
    <w:rsid w:val="00EE0F7D"/>
    <w:rsid w:val="00EE19F0"/>
    <w:rsid w:val="00EE230C"/>
    <w:rsid w:val="00EE2516"/>
    <w:rsid w:val="00EE254A"/>
    <w:rsid w:val="00EE2680"/>
    <w:rsid w:val="00EE27EC"/>
    <w:rsid w:val="00EE2C34"/>
    <w:rsid w:val="00EE2C4D"/>
    <w:rsid w:val="00EE3066"/>
    <w:rsid w:val="00EE3A68"/>
    <w:rsid w:val="00EE4692"/>
    <w:rsid w:val="00EE733C"/>
    <w:rsid w:val="00EE74C4"/>
    <w:rsid w:val="00EF03DA"/>
    <w:rsid w:val="00EF0AAB"/>
    <w:rsid w:val="00EF0E73"/>
    <w:rsid w:val="00EF1042"/>
    <w:rsid w:val="00EF2521"/>
    <w:rsid w:val="00EF2BD2"/>
    <w:rsid w:val="00EF3038"/>
    <w:rsid w:val="00EF3BF7"/>
    <w:rsid w:val="00EF436B"/>
    <w:rsid w:val="00EF61B0"/>
    <w:rsid w:val="00EF689A"/>
    <w:rsid w:val="00EF6995"/>
    <w:rsid w:val="00F00424"/>
    <w:rsid w:val="00F029DC"/>
    <w:rsid w:val="00F0372B"/>
    <w:rsid w:val="00F04F1F"/>
    <w:rsid w:val="00F05D39"/>
    <w:rsid w:val="00F05E2C"/>
    <w:rsid w:val="00F06032"/>
    <w:rsid w:val="00F07336"/>
    <w:rsid w:val="00F07429"/>
    <w:rsid w:val="00F076E6"/>
    <w:rsid w:val="00F10226"/>
    <w:rsid w:val="00F11276"/>
    <w:rsid w:val="00F12BE6"/>
    <w:rsid w:val="00F13560"/>
    <w:rsid w:val="00F143E9"/>
    <w:rsid w:val="00F1488A"/>
    <w:rsid w:val="00F1526E"/>
    <w:rsid w:val="00F203AD"/>
    <w:rsid w:val="00F20710"/>
    <w:rsid w:val="00F21111"/>
    <w:rsid w:val="00F21ACB"/>
    <w:rsid w:val="00F22190"/>
    <w:rsid w:val="00F2289F"/>
    <w:rsid w:val="00F2407E"/>
    <w:rsid w:val="00F24647"/>
    <w:rsid w:val="00F24C45"/>
    <w:rsid w:val="00F25027"/>
    <w:rsid w:val="00F25111"/>
    <w:rsid w:val="00F25A72"/>
    <w:rsid w:val="00F25BEB"/>
    <w:rsid w:val="00F2694F"/>
    <w:rsid w:val="00F26B05"/>
    <w:rsid w:val="00F26B6F"/>
    <w:rsid w:val="00F26D37"/>
    <w:rsid w:val="00F303C9"/>
    <w:rsid w:val="00F305C4"/>
    <w:rsid w:val="00F30FE4"/>
    <w:rsid w:val="00F31E5B"/>
    <w:rsid w:val="00F32111"/>
    <w:rsid w:val="00F32C0C"/>
    <w:rsid w:val="00F33764"/>
    <w:rsid w:val="00F34E31"/>
    <w:rsid w:val="00F3604A"/>
    <w:rsid w:val="00F40629"/>
    <w:rsid w:val="00F40882"/>
    <w:rsid w:val="00F4169A"/>
    <w:rsid w:val="00F4227F"/>
    <w:rsid w:val="00F42C40"/>
    <w:rsid w:val="00F43162"/>
    <w:rsid w:val="00F44F80"/>
    <w:rsid w:val="00F4540F"/>
    <w:rsid w:val="00F45686"/>
    <w:rsid w:val="00F46916"/>
    <w:rsid w:val="00F475FD"/>
    <w:rsid w:val="00F50043"/>
    <w:rsid w:val="00F5036C"/>
    <w:rsid w:val="00F504A7"/>
    <w:rsid w:val="00F51EE3"/>
    <w:rsid w:val="00F52CD9"/>
    <w:rsid w:val="00F52CE7"/>
    <w:rsid w:val="00F52D80"/>
    <w:rsid w:val="00F52FDC"/>
    <w:rsid w:val="00F53522"/>
    <w:rsid w:val="00F53E95"/>
    <w:rsid w:val="00F5423D"/>
    <w:rsid w:val="00F562C0"/>
    <w:rsid w:val="00F56384"/>
    <w:rsid w:val="00F56BC1"/>
    <w:rsid w:val="00F575BD"/>
    <w:rsid w:val="00F609EF"/>
    <w:rsid w:val="00F61EF6"/>
    <w:rsid w:val="00F62C4E"/>
    <w:rsid w:val="00F65772"/>
    <w:rsid w:val="00F65D51"/>
    <w:rsid w:val="00F65D80"/>
    <w:rsid w:val="00F6691C"/>
    <w:rsid w:val="00F701FF"/>
    <w:rsid w:val="00F703EA"/>
    <w:rsid w:val="00F713F7"/>
    <w:rsid w:val="00F71CAE"/>
    <w:rsid w:val="00F72147"/>
    <w:rsid w:val="00F73342"/>
    <w:rsid w:val="00F73DD1"/>
    <w:rsid w:val="00F7776D"/>
    <w:rsid w:val="00F77F11"/>
    <w:rsid w:val="00F8011E"/>
    <w:rsid w:val="00F8176A"/>
    <w:rsid w:val="00F832BF"/>
    <w:rsid w:val="00F851F6"/>
    <w:rsid w:val="00F85472"/>
    <w:rsid w:val="00F85E1F"/>
    <w:rsid w:val="00F85EE0"/>
    <w:rsid w:val="00F86219"/>
    <w:rsid w:val="00F866EF"/>
    <w:rsid w:val="00F877E8"/>
    <w:rsid w:val="00F87EA7"/>
    <w:rsid w:val="00F90654"/>
    <w:rsid w:val="00F90AC1"/>
    <w:rsid w:val="00F90F66"/>
    <w:rsid w:val="00F917F3"/>
    <w:rsid w:val="00F91943"/>
    <w:rsid w:val="00F9288E"/>
    <w:rsid w:val="00F92ED6"/>
    <w:rsid w:val="00F936F4"/>
    <w:rsid w:val="00F93906"/>
    <w:rsid w:val="00F94E32"/>
    <w:rsid w:val="00F957FD"/>
    <w:rsid w:val="00F96045"/>
    <w:rsid w:val="00F96A96"/>
    <w:rsid w:val="00F96D0A"/>
    <w:rsid w:val="00FA0E75"/>
    <w:rsid w:val="00FA0F4E"/>
    <w:rsid w:val="00FA1BDF"/>
    <w:rsid w:val="00FA3F8E"/>
    <w:rsid w:val="00FA4A65"/>
    <w:rsid w:val="00FA6CB2"/>
    <w:rsid w:val="00FB017D"/>
    <w:rsid w:val="00FB084F"/>
    <w:rsid w:val="00FB0A88"/>
    <w:rsid w:val="00FB0E27"/>
    <w:rsid w:val="00FB132E"/>
    <w:rsid w:val="00FB1B9F"/>
    <w:rsid w:val="00FB1E83"/>
    <w:rsid w:val="00FB34AA"/>
    <w:rsid w:val="00FB3B4E"/>
    <w:rsid w:val="00FB43FD"/>
    <w:rsid w:val="00FB4CA9"/>
    <w:rsid w:val="00FB4D55"/>
    <w:rsid w:val="00FB511B"/>
    <w:rsid w:val="00FB519A"/>
    <w:rsid w:val="00FB532B"/>
    <w:rsid w:val="00FB6422"/>
    <w:rsid w:val="00FC0360"/>
    <w:rsid w:val="00FC0A8E"/>
    <w:rsid w:val="00FC1441"/>
    <w:rsid w:val="00FC1B02"/>
    <w:rsid w:val="00FC1E5D"/>
    <w:rsid w:val="00FC2E9D"/>
    <w:rsid w:val="00FC3C86"/>
    <w:rsid w:val="00FC3ED4"/>
    <w:rsid w:val="00FC4F96"/>
    <w:rsid w:val="00FC740E"/>
    <w:rsid w:val="00FC7B12"/>
    <w:rsid w:val="00FD0FBF"/>
    <w:rsid w:val="00FD2EB5"/>
    <w:rsid w:val="00FD3F57"/>
    <w:rsid w:val="00FD4ADB"/>
    <w:rsid w:val="00FD526E"/>
    <w:rsid w:val="00FD7578"/>
    <w:rsid w:val="00FE1E57"/>
    <w:rsid w:val="00FE1F6D"/>
    <w:rsid w:val="00FE2FAD"/>
    <w:rsid w:val="00FE3F58"/>
    <w:rsid w:val="00FE42E6"/>
    <w:rsid w:val="00FE62BD"/>
    <w:rsid w:val="00FE6C81"/>
    <w:rsid w:val="00FE727C"/>
    <w:rsid w:val="00FE79A7"/>
    <w:rsid w:val="00FF0E07"/>
    <w:rsid w:val="00FF10A2"/>
    <w:rsid w:val="00FF1126"/>
    <w:rsid w:val="00FF122C"/>
    <w:rsid w:val="00FF1BF5"/>
    <w:rsid w:val="00FF3053"/>
    <w:rsid w:val="00FF317C"/>
    <w:rsid w:val="00FF376F"/>
    <w:rsid w:val="00FF3E3C"/>
    <w:rsid w:val="00FF519E"/>
    <w:rsid w:val="00FF5279"/>
    <w:rsid w:val="00FF53F9"/>
    <w:rsid w:val="00FF6509"/>
    <w:rsid w:val="00FF657F"/>
    <w:rsid w:val="00FF66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2E6FE6-99DA-4BDD-9E0D-699475AF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303"/>
    <w:rPr>
      <w:sz w:val="24"/>
      <w:szCs w:val="24"/>
      <w:lang w:eastAsia="en-US"/>
    </w:rPr>
  </w:style>
  <w:style w:type="paragraph" w:styleId="Naslov1">
    <w:name w:val="heading 1"/>
    <w:basedOn w:val="Normal"/>
    <w:next w:val="Normal"/>
    <w:link w:val="Naslov1Char"/>
    <w:qFormat/>
    <w:rsid w:val="006B5D9C"/>
    <w:pPr>
      <w:keepNext/>
      <w:outlineLvl w:val="0"/>
    </w:pPr>
    <w:rPr>
      <w:rFonts w:ascii="Arial" w:eastAsia="Arial Unicode MS" w:hAnsi="Arial"/>
      <w:sz w:val="44"/>
      <w:lang w:val="x-none"/>
    </w:rPr>
  </w:style>
  <w:style w:type="paragraph" w:styleId="Naslov2">
    <w:name w:val="heading 2"/>
    <w:basedOn w:val="Normal"/>
    <w:next w:val="Normal"/>
    <w:link w:val="Naslov2Char"/>
    <w:qFormat/>
    <w:rsid w:val="00EA6F80"/>
    <w:pPr>
      <w:keepNext/>
      <w:spacing w:before="240" w:after="60"/>
      <w:outlineLvl w:val="1"/>
    </w:pPr>
    <w:rPr>
      <w:rFonts w:ascii="Arial" w:hAnsi="Arial"/>
      <w:b/>
      <w:bCs/>
      <w:i/>
      <w:iCs/>
      <w:sz w:val="28"/>
      <w:szCs w:val="28"/>
      <w:lang w:val="en-GB"/>
    </w:rPr>
  </w:style>
  <w:style w:type="paragraph" w:styleId="Naslov3">
    <w:name w:val="heading 3"/>
    <w:basedOn w:val="Normal"/>
    <w:next w:val="Normal"/>
    <w:link w:val="Naslov3Char"/>
    <w:qFormat/>
    <w:rsid w:val="00EA6F80"/>
    <w:pPr>
      <w:keepNext/>
      <w:spacing w:before="240" w:after="60"/>
      <w:outlineLvl w:val="2"/>
    </w:pPr>
    <w:rPr>
      <w:rFonts w:ascii="Arial" w:hAnsi="Arial"/>
      <w:b/>
      <w:bCs/>
      <w:sz w:val="26"/>
      <w:szCs w:val="26"/>
      <w:lang w:val="en-GB"/>
    </w:rPr>
  </w:style>
  <w:style w:type="paragraph" w:styleId="Naslov4">
    <w:name w:val="heading 4"/>
    <w:basedOn w:val="Normal"/>
    <w:next w:val="Normal"/>
    <w:link w:val="Naslov4Char"/>
    <w:qFormat/>
    <w:rsid w:val="00900266"/>
    <w:pPr>
      <w:keepNext/>
      <w:spacing w:before="240" w:after="60"/>
      <w:outlineLvl w:val="3"/>
    </w:pPr>
    <w:rPr>
      <w:rFonts w:ascii="Calibri" w:hAnsi="Calibri"/>
      <w:b/>
      <w:bCs/>
      <w:sz w:val="28"/>
      <w:szCs w:val="28"/>
      <w:lang w:val="x-none"/>
    </w:rPr>
  </w:style>
  <w:style w:type="paragraph" w:styleId="Naslov5">
    <w:name w:val="heading 5"/>
    <w:basedOn w:val="Normal"/>
    <w:next w:val="Normal"/>
    <w:link w:val="Naslov5Char"/>
    <w:qFormat/>
    <w:rsid w:val="00EB5949"/>
    <w:pPr>
      <w:keepNext/>
      <w:autoSpaceDE w:val="0"/>
      <w:autoSpaceDN w:val="0"/>
      <w:adjustRightInd w:val="0"/>
      <w:ind w:left="284"/>
      <w:jc w:val="both"/>
      <w:outlineLvl w:val="4"/>
    </w:pPr>
    <w:rPr>
      <w:rFonts w:ascii="Arial" w:hAnsi="Arial"/>
      <w:b/>
      <w:color w:val="000000"/>
      <w:sz w:val="28"/>
      <w:lang w:val="x-none" w:eastAsia="x-none"/>
    </w:rPr>
  </w:style>
  <w:style w:type="paragraph" w:styleId="Naslov6">
    <w:name w:val="heading 6"/>
    <w:basedOn w:val="Normal"/>
    <w:next w:val="Normal"/>
    <w:link w:val="Naslov6Char"/>
    <w:qFormat/>
    <w:rsid w:val="008300E7"/>
    <w:pPr>
      <w:spacing w:before="240" w:after="60"/>
      <w:outlineLvl w:val="5"/>
    </w:pPr>
    <w:rPr>
      <w:b/>
      <w:bCs/>
      <w:sz w:val="22"/>
      <w:szCs w:val="22"/>
      <w:lang w:val="x-none"/>
    </w:rPr>
  </w:style>
  <w:style w:type="paragraph" w:styleId="Naslov7">
    <w:name w:val="heading 7"/>
    <w:basedOn w:val="Normal"/>
    <w:next w:val="Normal"/>
    <w:link w:val="Naslov7Char"/>
    <w:qFormat/>
    <w:rsid w:val="00D379AD"/>
    <w:pPr>
      <w:spacing w:before="240" w:after="60"/>
      <w:outlineLvl w:val="6"/>
    </w:pPr>
    <w:rPr>
      <w:lang w:val="x-none"/>
    </w:rPr>
  </w:style>
  <w:style w:type="paragraph" w:styleId="Naslov8">
    <w:name w:val="heading 8"/>
    <w:basedOn w:val="Normal"/>
    <w:next w:val="Normal"/>
    <w:link w:val="Naslov8Char"/>
    <w:qFormat/>
    <w:rsid w:val="00D379AD"/>
    <w:pPr>
      <w:spacing w:before="240" w:after="60"/>
      <w:outlineLvl w:val="7"/>
    </w:pPr>
    <w:rPr>
      <w:i/>
      <w:iCs/>
      <w:lang w:val="x-none"/>
    </w:rPr>
  </w:style>
  <w:style w:type="paragraph" w:styleId="Naslov9">
    <w:name w:val="heading 9"/>
    <w:basedOn w:val="Normal"/>
    <w:next w:val="Normal"/>
    <w:link w:val="Naslov9Char"/>
    <w:qFormat/>
    <w:rsid w:val="008300E7"/>
    <w:pPr>
      <w:spacing w:before="240" w:after="60"/>
      <w:outlineLvl w:val="8"/>
    </w:pPr>
    <w:rPr>
      <w:rFonts w:ascii="Arial" w:hAnsi="Arial"/>
      <w:sz w:val="22"/>
      <w:szCs w:val="22"/>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806452"/>
    <w:rPr>
      <w:rFonts w:ascii="Arial" w:eastAsia="Arial Unicode MS" w:hAnsi="Arial" w:cs="Arial"/>
      <w:sz w:val="44"/>
      <w:szCs w:val="24"/>
      <w:lang w:eastAsia="en-US"/>
    </w:rPr>
  </w:style>
  <w:style w:type="character" w:customStyle="1" w:styleId="Naslov2Char">
    <w:name w:val="Naslov 2 Char"/>
    <w:link w:val="Naslov2"/>
    <w:rsid w:val="00806452"/>
    <w:rPr>
      <w:rFonts w:ascii="Arial" w:hAnsi="Arial" w:cs="Arial"/>
      <w:b/>
      <w:bCs/>
      <w:i/>
      <w:iCs/>
      <w:sz w:val="28"/>
      <w:szCs w:val="28"/>
      <w:lang w:val="en-GB" w:eastAsia="en-US"/>
    </w:rPr>
  </w:style>
  <w:style w:type="character" w:customStyle="1" w:styleId="Naslov3Char">
    <w:name w:val="Naslov 3 Char"/>
    <w:link w:val="Naslov3"/>
    <w:rsid w:val="00806452"/>
    <w:rPr>
      <w:rFonts w:ascii="Arial" w:hAnsi="Arial" w:cs="Arial"/>
      <w:b/>
      <w:bCs/>
      <w:sz w:val="26"/>
      <w:szCs w:val="26"/>
      <w:lang w:val="en-GB" w:eastAsia="en-US"/>
    </w:rPr>
  </w:style>
  <w:style w:type="character" w:customStyle="1" w:styleId="Naslov4Char">
    <w:name w:val="Naslov 4 Char"/>
    <w:link w:val="Naslov4"/>
    <w:semiHidden/>
    <w:rsid w:val="00900266"/>
    <w:rPr>
      <w:rFonts w:ascii="Calibri" w:eastAsia="Times New Roman" w:hAnsi="Calibri" w:cs="Times New Roman"/>
      <w:b/>
      <w:bCs/>
      <w:sz w:val="28"/>
      <w:szCs w:val="28"/>
      <w:lang w:eastAsia="en-US"/>
    </w:rPr>
  </w:style>
  <w:style w:type="character" w:customStyle="1" w:styleId="Naslov5Char">
    <w:name w:val="Naslov 5 Char"/>
    <w:link w:val="Naslov5"/>
    <w:rsid w:val="00EB5949"/>
    <w:rPr>
      <w:rFonts w:ascii="Arial" w:hAnsi="Arial" w:cs="Arial"/>
      <w:b/>
      <w:color w:val="000000"/>
      <w:sz w:val="28"/>
      <w:szCs w:val="24"/>
    </w:rPr>
  </w:style>
  <w:style w:type="character" w:customStyle="1" w:styleId="Naslov6Char">
    <w:name w:val="Naslov 6 Char"/>
    <w:link w:val="Naslov6"/>
    <w:rsid w:val="00EB5949"/>
    <w:rPr>
      <w:b/>
      <w:bCs/>
      <w:sz w:val="22"/>
      <w:szCs w:val="22"/>
      <w:lang w:eastAsia="en-US"/>
    </w:rPr>
  </w:style>
  <w:style w:type="character" w:customStyle="1" w:styleId="Naslov7Char">
    <w:name w:val="Naslov 7 Char"/>
    <w:link w:val="Naslov7"/>
    <w:rsid w:val="00EB5949"/>
    <w:rPr>
      <w:sz w:val="24"/>
      <w:szCs w:val="24"/>
      <w:lang w:eastAsia="en-US"/>
    </w:rPr>
  </w:style>
  <w:style w:type="character" w:customStyle="1" w:styleId="Naslov8Char">
    <w:name w:val="Naslov 8 Char"/>
    <w:link w:val="Naslov8"/>
    <w:rsid w:val="00333CDD"/>
    <w:rPr>
      <w:i/>
      <w:iCs/>
      <w:sz w:val="24"/>
      <w:szCs w:val="24"/>
      <w:lang w:eastAsia="en-US"/>
    </w:rPr>
  </w:style>
  <w:style w:type="character" w:customStyle="1" w:styleId="Naslov9Char">
    <w:name w:val="Naslov 9 Char"/>
    <w:link w:val="Naslov9"/>
    <w:rsid w:val="00EB5949"/>
    <w:rPr>
      <w:rFonts w:ascii="Arial" w:hAnsi="Arial" w:cs="Arial"/>
      <w:sz w:val="22"/>
      <w:szCs w:val="22"/>
      <w:lang w:eastAsia="en-US"/>
    </w:rPr>
  </w:style>
  <w:style w:type="paragraph" w:styleId="Tijeloteksta">
    <w:name w:val="Body Text"/>
    <w:aliases w:val="uvlaka 21,u"/>
    <w:basedOn w:val="Normal"/>
    <w:link w:val="TijelotekstaChar"/>
    <w:rsid w:val="006B5D9C"/>
    <w:rPr>
      <w:sz w:val="44"/>
      <w:lang w:val="x-none"/>
    </w:rPr>
  </w:style>
  <w:style w:type="character" w:customStyle="1" w:styleId="TijelotekstaChar">
    <w:name w:val="Tijelo teksta Char"/>
    <w:aliases w:val="uvlaka 21 Char,u Char"/>
    <w:link w:val="Tijeloteksta"/>
    <w:locked/>
    <w:rsid w:val="00EB5949"/>
    <w:rPr>
      <w:sz w:val="44"/>
      <w:szCs w:val="24"/>
      <w:lang w:eastAsia="en-US"/>
    </w:rPr>
  </w:style>
  <w:style w:type="paragraph" w:styleId="Zaglavlje">
    <w:name w:val="header"/>
    <w:basedOn w:val="Normal"/>
    <w:link w:val="ZaglavljeChar"/>
    <w:uiPriority w:val="99"/>
    <w:rsid w:val="0001782C"/>
    <w:pPr>
      <w:tabs>
        <w:tab w:val="center" w:pos="4320"/>
        <w:tab w:val="right" w:pos="8640"/>
      </w:tabs>
    </w:pPr>
    <w:rPr>
      <w:lang w:val="x-none"/>
    </w:rPr>
  </w:style>
  <w:style w:type="character" w:customStyle="1" w:styleId="ZaglavljeChar">
    <w:name w:val="Zaglavlje Char"/>
    <w:link w:val="Zaglavlje"/>
    <w:uiPriority w:val="99"/>
    <w:rsid w:val="00BE63FA"/>
    <w:rPr>
      <w:sz w:val="24"/>
      <w:szCs w:val="24"/>
      <w:lang w:eastAsia="en-US"/>
    </w:rPr>
  </w:style>
  <w:style w:type="paragraph" w:styleId="Podnoje">
    <w:name w:val="footer"/>
    <w:basedOn w:val="Normal"/>
    <w:link w:val="PodnojeChar"/>
    <w:rsid w:val="0001782C"/>
    <w:pPr>
      <w:tabs>
        <w:tab w:val="center" w:pos="4320"/>
        <w:tab w:val="right" w:pos="8640"/>
      </w:tabs>
    </w:pPr>
    <w:rPr>
      <w:lang w:val="x-none"/>
    </w:rPr>
  </w:style>
  <w:style w:type="character" w:customStyle="1" w:styleId="PodnojeChar">
    <w:name w:val="Podnožje Char"/>
    <w:link w:val="Podnoje"/>
    <w:uiPriority w:val="99"/>
    <w:rsid w:val="007E0368"/>
    <w:rPr>
      <w:sz w:val="24"/>
      <w:szCs w:val="24"/>
      <w:lang w:eastAsia="en-US"/>
    </w:rPr>
  </w:style>
  <w:style w:type="character" w:styleId="Brojstranice">
    <w:name w:val="page number"/>
    <w:basedOn w:val="Zadanifontodlomka"/>
    <w:rsid w:val="0001782C"/>
  </w:style>
  <w:style w:type="paragraph" w:styleId="Tekstbalonia">
    <w:name w:val="Balloon Text"/>
    <w:basedOn w:val="Normal"/>
    <w:link w:val="TekstbaloniaChar"/>
    <w:uiPriority w:val="99"/>
    <w:rsid w:val="00021585"/>
    <w:rPr>
      <w:rFonts w:ascii="Tahoma" w:hAnsi="Tahoma"/>
      <w:sz w:val="16"/>
      <w:szCs w:val="16"/>
      <w:lang w:val="x-none"/>
    </w:rPr>
  </w:style>
  <w:style w:type="character" w:customStyle="1" w:styleId="TekstbaloniaChar">
    <w:name w:val="Tekst balončića Char"/>
    <w:link w:val="Tekstbalonia"/>
    <w:uiPriority w:val="99"/>
    <w:rsid w:val="00EB5949"/>
    <w:rPr>
      <w:rFonts w:ascii="Tahoma" w:hAnsi="Tahoma" w:cs="Tahoma"/>
      <w:sz w:val="16"/>
      <w:szCs w:val="16"/>
      <w:lang w:eastAsia="en-US"/>
    </w:rPr>
  </w:style>
  <w:style w:type="paragraph" w:styleId="Uvuenotijeloteksta">
    <w:name w:val="Body Text Indent"/>
    <w:basedOn w:val="Normal"/>
    <w:link w:val="UvuenotijelotekstaChar"/>
    <w:rsid w:val="00116003"/>
    <w:pPr>
      <w:spacing w:after="120"/>
      <w:ind w:left="283"/>
    </w:pPr>
    <w:rPr>
      <w:lang w:val="x-none"/>
    </w:rPr>
  </w:style>
  <w:style w:type="character" w:customStyle="1" w:styleId="UvuenotijelotekstaChar">
    <w:name w:val="Uvučeno tijelo teksta Char"/>
    <w:link w:val="Uvuenotijeloteksta"/>
    <w:rsid w:val="002C04A3"/>
    <w:rPr>
      <w:sz w:val="24"/>
      <w:szCs w:val="24"/>
      <w:lang w:eastAsia="en-US"/>
    </w:rPr>
  </w:style>
  <w:style w:type="table" w:styleId="Reetkatablice">
    <w:name w:val="Table Grid"/>
    <w:basedOn w:val="Obinatablica"/>
    <w:uiPriority w:val="39"/>
    <w:rsid w:val="00322A51"/>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60F5C"/>
    <w:rPr>
      <w:color w:val="0000FF"/>
      <w:u w:val="single"/>
    </w:rPr>
  </w:style>
  <w:style w:type="character" w:styleId="SlijeenaHiperveza">
    <w:name w:val="FollowedHyperlink"/>
    <w:uiPriority w:val="99"/>
    <w:rsid w:val="00260F5C"/>
    <w:rPr>
      <w:color w:val="800080"/>
      <w:u w:val="single"/>
    </w:rPr>
  </w:style>
  <w:style w:type="paragraph" w:customStyle="1" w:styleId="xl22">
    <w:name w:val="xl22"/>
    <w:basedOn w:val="Normal"/>
    <w:rsid w:val="00260F5C"/>
    <w:pPr>
      <w:spacing w:before="100" w:beforeAutospacing="1" w:after="100" w:afterAutospacing="1"/>
    </w:pPr>
    <w:rPr>
      <w:rFonts w:ascii="Arial" w:hAnsi="Arial" w:cs="Arial"/>
      <w:b/>
      <w:bCs/>
      <w:lang w:val="en-US"/>
    </w:rPr>
  </w:style>
  <w:style w:type="paragraph" w:customStyle="1" w:styleId="xl23">
    <w:name w:val="xl23"/>
    <w:basedOn w:val="Normal"/>
    <w:rsid w:val="00260F5C"/>
    <w:pPr>
      <w:spacing w:before="100" w:beforeAutospacing="1" w:after="100" w:afterAutospacing="1"/>
    </w:pPr>
    <w:rPr>
      <w:rFonts w:ascii="Arial" w:hAnsi="Arial" w:cs="Arial"/>
      <w:b/>
      <w:bCs/>
      <w:sz w:val="40"/>
      <w:szCs w:val="40"/>
      <w:lang w:val="en-US"/>
    </w:rPr>
  </w:style>
  <w:style w:type="paragraph" w:customStyle="1" w:styleId="xl24">
    <w:name w:val="xl24"/>
    <w:basedOn w:val="Normal"/>
    <w:rsid w:val="00260F5C"/>
    <w:pPr>
      <w:spacing w:before="100" w:beforeAutospacing="1" w:after="100" w:afterAutospacing="1"/>
    </w:pPr>
    <w:rPr>
      <w:rFonts w:ascii="Arial" w:hAnsi="Arial" w:cs="Arial"/>
      <w:b/>
      <w:bCs/>
      <w:sz w:val="32"/>
      <w:szCs w:val="32"/>
      <w:lang w:val="en-US"/>
    </w:rPr>
  </w:style>
  <w:style w:type="paragraph" w:customStyle="1" w:styleId="xl25">
    <w:name w:val="xl25"/>
    <w:basedOn w:val="Normal"/>
    <w:rsid w:val="00260F5C"/>
    <w:pPr>
      <w:shd w:val="clear" w:color="auto" w:fill="C0C0C0"/>
      <w:spacing w:before="100" w:beforeAutospacing="1" w:after="100" w:afterAutospacing="1"/>
    </w:pPr>
    <w:rPr>
      <w:rFonts w:ascii="Arial" w:hAnsi="Arial" w:cs="Arial"/>
      <w:b/>
      <w:bCs/>
      <w:lang w:val="en-US"/>
    </w:rPr>
  </w:style>
  <w:style w:type="paragraph" w:customStyle="1" w:styleId="xl26">
    <w:name w:val="xl26"/>
    <w:basedOn w:val="Normal"/>
    <w:rsid w:val="00260F5C"/>
    <w:pPr>
      <w:shd w:val="clear" w:color="auto" w:fill="333333"/>
      <w:spacing w:before="100" w:beforeAutospacing="1" w:after="100" w:afterAutospacing="1"/>
    </w:pPr>
    <w:rPr>
      <w:rFonts w:ascii="Arial" w:hAnsi="Arial" w:cs="Arial"/>
      <w:b/>
      <w:bCs/>
      <w:color w:val="FFFFFF"/>
      <w:lang w:val="en-US"/>
    </w:rPr>
  </w:style>
  <w:style w:type="paragraph" w:customStyle="1" w:styleId="xl27">
    <w:name w:val="xl27"/>
    <w:basedOn w:val="Normal"/>
    <w:rsid w:val="00260F5C"/>
    <w:pPr>
      <w:shd w:val="clear" w:color="auto" w:fill="333333"/>
      <w:spacing w:before="100" w:beforeAutospacing="1" w:after="100" w:afterAutospacing="1"/>
    </w:pPr>
    <w:rPr>
      <w:rFonts w:ascii="Arial" w:hAnsi="Arial" w:cs="Arial"/>
      <w:b/>
      <w:bCs/>
      <w:color w:val="FFFFFF"/>
      <w:lang w:val="en-US"/>
    </w:rPr>
  </w:style>
  <w:style w:type="paragraph" w:customStyle="1" w:styleId="xl28">
    <w:name w:val="xl28"/>
    <w:basedOn w:val="Normal"/>
    <w:rsid w:val="00260F5C"/>
    <w:pPr>
      <w:shd w:val="clear" w:color="auto" w:fill="969696"/>
      <w:spacing w:before="100" w:beforeAutospacing="1" w:after="100" w:afterAutospacing="1"/>
    </w:pPr>
    <w:rPr>
      <w:rFonts w:ascii="Arial" w:hAnsi="Arial" w:cs="Arial"/>
      <w:b/>
      <w:bCs/>
      <w:lang w:val="en-US"/>
    </w:rPr>
  </w:style>
  <w:style w:type="paragraph" w:customStyle="1" w:styleId="xl29">
    <w:name w:val="xl29"/>
    <w:basedOn w:val="Normal"/>
    <w:rsid w:val="00260F5C"/>
    <w:pPr>
      <w:shd w:val="clear" w:color="auto" w:fill="969696"/>
      <w:spacing w:before="100" w:beforeAutospacing="1" w:after="100" w:afterAutospacing="1"/>
    </w:pPr>
    <w:rPr>
      <w:rFonts w:ascii="Arial" w:hAnsi="Arial" w:cs="Arial"/>
      <w:b/>
      <w:bCs/>
      <w:lang w:val="en-US"/>
    </w:rPr>
  </w:style>
  <w:style w:type="paragraph" w:customStyle="1" w:styleId="xl30">
    <w:name w:val="xl30"/>
    <w:basedOn w:val="Normal"/>
    <w:rsid w:val="00260F5C"/>
    <w:pPr>
      <w:shd w:val="clear" w:color="auto" w:fill="000080"/>
      <w:spacing w:before="100" w:beforeAutospacing="1" w:after="100" w:afterAutospacing="1"/>
    </w:pPr>
    <w:rPr>
      <w:rFonts w:ascii="Arial" w:hAnsi="Arial" w:cs="Arial"/>
      <w:b/>
      <w:bCs/>
      <w:color w:val="FFFFFF"/>
      <w:lang w:val="en-US"/>
    </w:rPr>
  </w:style>
  <w:style w:type="paragraph" w:customStyle="1" w:styleId="xl31">
    <w:name w:val="xl31"/>
    <w:basedOn w:val="Normal"/>
    <w:rsid w:val="00260F5C"/>
    <w:pPr>
      <w:shd w:val="clear" w:color="auto" w:fill="000080"/>
      <w:spacing w:before="100" w:beforeAutospacing="1" w:after="100" w:afterAutospacing="1"/>
    </w:pPr>
    <w:rPr>
      <w:rFonts w:ascii="Arial" w:hAnsi="Arial" w:cs="Arial"/>
      <w:b/>
      <w:bCs/>
      <w:color w:val="FFFFFF"/>
      <w:lang w:val="en-US"/>
    </w:rPr>
  </w:style>
  <w:style w:type="paragraph" w:customStyle="1" w:styleId="xl32">
    <w:name w:val="xl32"/>
    <w:basedOn w:val="Normal"/>
    <w:rsid w:val="00260F5C"/>
    <w:pPr>
      <w:spacing w:before="100" w:beforeAutospacing="1" w:after="100" w:afterAutospacing="1"/>
    </w:pPr>
    <w:rPr>
      <w:rFonts w:ascii="Arial" w:hAnsi="Arial" w:cs="Arial"/>
      <w:b/>
      <w:bCs/>
      <w:lang w:val="en-US"/>
    </w:rPr>
  </w:style>
  <w:style w:type="paragraph" w:customStyle="1" w:styleId="xl33">
    <w:name w:val="xl33"/>
    <w:basedOn w:val="Normal"/>
    <w:rsid w:val="00260F5C"/>
    <w:pPr>
      <w:spacing w:before="100" w:beforeAutospacing="1" w:after="100" w:afterAutospacing="1"/>
    </w:pPr>
    <w:rPr>
      <w:rFonts w:ascii="Arial" w:hAnsi="Arial" w:cs="Arial"/>
      <w:b/>
      <w:bCs/>
      <w:lang w:val="en-US"/>
    </w:rPr>
  </w:style>
  <w:style w:type="paragraph" w:customStyle="1" w:styleId="xl34">
    <w:name w:val="xl34"/>
    <w:basedOn w:val="Normal"/>
    <w:rsid w:val="00260F5C"/>
    <w:pPr>
      <w:spacing w:before="100" w:beforeAutospacing="1" w:after="100" w:afterAutospacing="1"/>
    </w:pPr>
    <w:rPr>
      <w:rFonts w:ascii="Arial" w:hAnsi="Arial" w:cs="Arial"/>
      <w:b/>
      <w:bCs/>
      <w:lang w:val="en-US"/>
    </w:rPr>
  </w:style>
  <w:style w:type="paragraph" w:customStyle="1" w:styleId="xl35">
    <w:name w:val="xl35"/>
    <w:basedOn w:val="Normal"/>
    <w:rsid w:val="00260F5C"/>
    <w:pPr>
      <w:spacing w:before="100" w:beforeAutospacing="1" w:after="100" w:afterAutospacing="1"/>
    </w:pPr>
    <w:rPr>
      <w:lang w:val="en-US"/>
    </w:rPr>
  </w:style>
  <w:style w:type="paragraph" w:customStyle="1" w:styleId="xl36">
    <w:name w:val="xl36"/>
    <w:basedOn w:val="Normal"/>
    <w:rsid w:val="00260F5C"/>
    <w:pPr>
      <w:spacing w:before="100" w:beforeAutospacing="1" w:after="100" w:afterAutospacing="1"/>
    </w:pPr>
    <w:rPr>
      <w:lang w:val="en-US"/>
    </w:rPr>
  </w:style>
  <w:style w:type="paragraph" w:customStyle="1" w:styleId="xl37">
    <w:name w:val="xl37"/>
    <w:basedOn w:val="Normal"/>
    <w:rsid w:val="00260F5C"/>
    <w:pPr>
      <w:spacing w:before="100" w:beforeAutospacing="1" w:after="100" w:afterAutospacing="1"/>
    </w:pPr>
    <w:rPr>
      <w:lang w:val="en-US"/>
    </w:rPr>
  </w:style>
  <w:style w:type="paragraph" w:customStyle="1" w:styleId="T-98-2">
    <w:name w:val="T-9/8-2"/>
    <w:rsid w:val="003C42E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Tijeloteksta-uvlaka2">
    <w:name w:val="Body Text Indent 2"/>
    <w:aliases w:val="uvlaka 2,  uvlaka 2,uvlaka 3,uvlaka 31"/>
    <w:basedOn w:val="Normal"/>
    <w:link w:val="Tijeloteksta-uvlaka2Char"/>
    <w:rsid w:val="008300E7"/>
    <w:pPr>
      <w:spacing w:after="120" w:line="480" w:lineRule="auto"/>
      <w:ind w:left="283"/>
    </w:pPr>
    <w:rPr>
      <w:lang w:val="x-none"/>
    </w:rPr>
  </w:style>
  <w:style w:type="character" w:customStyle="1" w:styleId="Tijeloteksta-uvlaka2Char">
    <w:name w:val="Tijelo teksta - uvlaka 2 Char"/>
    <w:aliases w:val="uvlaka 2 Char,  uvlaka 2 Char,uvlaka 3 Char,uvlaka 31 Char"/>
    <w:link w:val="Tijeloteksta-uvlaka2"/>
    <w:locked/>
    <w:rsid w:val="00171E2A"/>
    <w:rPr>
      <w:sz w:val="24"/>
      <w:szCs w:val="24"/>
      <w:lang w:eastAsia="en-US"/>
    </w:rPr>
  </w:style>
  <w:style w:type="paragraph" w:styleId="Tekstfusnote">
    <w:name w:val="footnote text"/>
    <w:basedOn w:val="Normal"/>
    <w:link w:val="TekstfusnoteChar"/>
    <w:rsid w:val="008300E7"/>
    <w:pPr>
      <w:widowControl w:val="0"/>
      <w:snapToGrid w:val="0"/>
      <w:jc w:val="both"/>
    </w:pPr>
    <w:rPr>
      <w:rFonts w:ascii="Arial" w:hAnsi="Arial"/>
      <w:bCs/>
      <w:sz w:val="20"/>
      <w:szCs w:val="20"/>
      <w:lang w:val="en-AU"/>
    </w:rPr>
  </w:style>
  <w:style w:type="character" w:customStyle="1" w:styleId="TekstfusnoteChar">
    <w:name w:val="Tekst fusnote Char"/>
    <w:link w:val="Tekstfusnote"/>
    <w:rsid w:val="00EB5949"/>
    <w:rPr>
      <w:rFonts w:ascii="Arial" w:hAnsi="Arial"/>
      <w:bCs/>
      <w:lang w:val="en-AU" w:eastAsia="en-US"/>
    </w:rPr>
  </w:style>
  <w:style w:type="paragraph" w:customStyle="1" w:styleId="BodyText22">
    <w:name w:val="Body Text 22"/>
    <w:basedOn w:val="Normal"/>
    <w:link w:val="BodyText22Char"/>
    <w:qFormat/>
    <w:rsid w:val="008300E7"/>
    <w:pPr>
      <w:jc w:val="both"/>
    </w:pPr>
    <w:rPr>
      <w:rFonts w:ascii="Arial" w:hAnsi="Arial"/>
      <w:bCs/>
      <w:szCs w:val="20"/>
      <w:lang w:val="x-none" w:eastAsia="x-none"/>
    </w:rPr>
  </w:style>
  <w:style w:type="character" w:customStyle="1" w:styleId="BodyText22Char">
    <w:name w:val="Body Text 22 Char"/>
    <w:link w:val="BodyText22"/>
    <w:rsid w:val="002968CD"/>
    <w:rPr>
      <w:rFonts w:ascii="Arial" w:hAnsi="Arial"/>
      <w:bCs/>
      <w:sz w:val="24"/>
    </w:rPr>
  </w:style>
  <w:style w:type="paragraph" w:customStyle="1" w:styleId="GRAFICKEOZNAKE">
    <w:name w:val="GRAFICKE OZNAKE"/>
    <w:basedOn w:val="Normal"/>
    <w:qFormat/>
    <w:rsid w:val="008300E7"/>
    <w:pPr>
      <w:numPr>
        <w:numId w:val="1"/>
      </w:numPr>
    </w:pPr>
    <w:rPr>
      <w:rFonts w:ascii="Arial" w:hAnsi="Arial"/>
      <w:bCs/>
      <w:lang w:eastAsia="hr-HR"/>
    </w:rPr>
  </w:style>
  <w:style w:type="paragraph" w:customStyle="1" w:styleId="nabrajanjeskockicamasuvlakom">
    <w:name w:val="nabrajanje s kockicama s uvlakom"/>
    <w:basedOn w:val="Normal"/>
    <w:rsid w:val="001B1446"/>
    <w:pPr>
      <w:numPr>
        <w:numId w:val="2"/>
      </w:numPr>
      <w:jc w:val="both"/>
    </w:pPr>
    <w:rPr>
      <w:sz w:val="20"/>
      <w:lang w:eastAsia="hr-HR"/>
    </w:rPr>
  </w:style>
  <w:style w:type="paragraph" w:customStyle="1" w:styleId="tijeloteksta0">
    <w:name w:val="tijelo teksta"/>
    <w:basedOn w:val="Normal"/>
    <w:qFormat/>
    <w:rsid w:val="001B1446"/>
    <w:pPr>
      <w:ind w:firstLine="284"/>
      <w:jc w:val="both"/>
    </w:pPr>
    <w:rPr>
      <w:sz w:val="20"/>
      <w:lang w:eastAsia="hr-HR"/>
    </w:rPr>
  </w:style>
  <w:style w:type="paragraph" w:customStyle="1" w:styleId="tijelotekstabezuvlake">
    <w:name w:val="tijelo teksta bez uvlake"/>
    <w:basedOn w:val="Normal"/>
    <w:rsid w:val="001B1446"/>
    <w:rPr>
      <w:sz w:val="20"/>
      <w:lang w:eastAsia="hr-HR"/>
    </w:rPr>
  </w:style>
  <w:style w:type="paragraph" w:customStyle="1" w:styleId="naslovodluke">
    <w:name w:val="naslov odluke"/>
    <w:basedOn w:val="Uvuenotijeloteksta"/>
    <w:rsid w:val="001B1446"/>
    <w:pPr>
      <w:numPr>
        <w:ilvl w:val="12"/>
      </w:numPr>
      <w:spacing w:after="0"/>
      <w:ind w:left="283"/>
      <w:jc w:val="center"/>
    </w:pPr>
    <w:rPr>
      <w:b/>
      <w:sz w:val="20"/>
      <w:szCs w:val="20"/>
      <w:lang w:eastAsia="hr-HR"/>
    </w:rPr>
  </w:style>
  <w:style w:type="paragraph" w:customStyle="1" w:styleId="tijelotekstasnabrajanjima1">
    <w:name w:val="tijelo teksta s nabrajanjima 1"/>
    <w:basedOn w:val="tijeloteksta0"/>
    <w:rsid w:val="001B1446"/>
    <w:pPr>
      <w:ind w:left="397" w:hanging="397"/>
    </w:pPr>
  </w:style>
  <w:style w:type="paragraph" w:customStyle="1" w:styleId="nabrajanje0">
    <w:name w:val="nabrajanje 0"/>
    <w:aliases w:val="7 uvlaka kocka"/>
    <w:basedOn w:val="tijelotekstasnabrajanjima1"/>
    <w:rsid w:val="001B1446"/>
    <w:pPr>
      <w:numPr>
        <w:numId w:val="3"/>
      </w:numPr>
    </w:pPr>
  </w:style>
  <w:style w:type="paragraph" w:styleId="StandardWeb">
    <w:name w:val="Normal (Web)"/>
    <w:aliases w:val="Standard (Web) Char,Standard (Web) Char Char Char Char,Standard (Web) Char Char Char  Char Char,Standard (Web) Char Char Char"/>
    <w:basedOn w:val="Normal"/>
    <w:link w:val="StandardWebChar1"/>
    <w:uiPriority w:val="99"/>
    <w:qFormat/>
    <w:rsid w:val="00B8033E"/>
    <w:pPr>
      <w:spacing w:before="100" w:beforeAutospacing="1" w:after="100" w:afterAutospacing="1"/>
    </w:pPr>
    <w:rPr>
      <w:lang w:val="en-GB"/>
    </w:rPr>
  </w:style>
  <w:style w:type="character" w:customStyle="1" w:styleId="StandardWebChar1">
    <w:name w:val="Standard (Web) Char1"/>
    <w:aliases w:val="Standard (Web) Char Char,Standard (Web) Char Char Char Char Char,Standard (Web) Char Char Char  Char Char Char,Standard (Web) Char Char Char Char1"/>
    <w:link w:val="StandardWeb"/>
    <w:rsid w:val="00945E2A"/>
    <w:rPr>
      <w:sz w:val="24"/>
      <w:szCs w:val="24"/>
      <w:lang w:val="en-GB" w:eastAsia="en-US"/>
    </w:rPr>
  </w:style>
  <w:style w:type="paragraph" w:styleId="Opisslike">
    <w:name w:val="caption"/>
    <w:basedOn w:val="Normal"/>
    <w:next w:val="Normal"/>
    <w:qFormat/>
    <w:rsid w:val="00B8033E"/>
    <w:pPr>
      <w:ind w:firstLine="720"/>
    </w:pPr>
    <w:rPr>
      <w:rFonts w:ascii="Arial" w:hAnsi="Arial" w:cs="Arial"/>
      <w:b/>
      <w:bCs/>
      <w:sz w:val="22"/>
    </w:rPr>
  </w:style>
  <w:style w:type="paragraph" w:styleId="Podnaslov">
    <w:name w:val="Subtitle"/>
    <w:basedOn w:val="Normal"/>
    <w:link w:val="PodnaslovChar"/>
    <w:qFormat/>
    <w:rsid w:val="006B5EE9"/>
    <w:pPr>
      <w:jc w:val="center"/>
    </w:pPr>
    <w:rPr>
      <w:rFonts w:ascii="Arial" w:hAnsi="Arial"/>
      <w:b/>
      <w:sz w:val="20"/>
      <w:lang w:val="x-none" w:eastAsia="x-none"/>
    </w:rPr>
  </w:style>
  <w:style w:type="character" w:customStyle="1" w:styleId="PodnaslovChar">
    <w:name w:val="Podnaslov Char"/>
    <w:link w:val="Podnaslov"/>
    <w:rsid w:val="0046422B"/>
    <w:rPr>
      <w:rFonts w:ascii="Arial" w:hAnsi="Arial" w:cs="Arial"/>
      <w:b/>
      <w:szCs w:val="24"/>
    </w:rPr>
  </w:style>
  <w:style w:type="paragraph" w:styleId="Tijeloteksta2">
    <w:name w:val="Body Text 2"/>
    <w:basedOn w:val="Normal"/>
    <w:link w:val="Tijeloteksta2Char"/>
    <w:rsid w:val="00D379AD"/>
    <w:pPr>
      <w:spacing w:after="120" w:line="480" w:lineRule="auto"/>
    </w:pPr>
    <w:rPr>
      <w:lang w:val="x-none"/>
    </w:rPr>
  </w:style>
  <w:style w:type="character" w:customStyle="1" w:styleId="Tijeloteksta2Char">
    <w:name w:val="Tijelo teksta 2 Char"/>
    <w:link w:val="Tijeloteksta2"/>
    <w:rsid w:val="00333CDD"/>
    <w:rPr>
      <w:sz w:val="24"/>
      <w:szCs w:val="24"/>
      <w:lang w:eastAsia="en-US"/>
    </w:rPr>
  </w:style>
  <w:style w:type="paragraph" w:styleId="Tijeloteksta3">
    <w:name w:val="Body Text 3"/>
    <w:basedOn w:val="Normal"/>
    <w:link w:val="Tijeloteksta3Char"/>
    <w:rsid w:val="00D379AD"/>
    <w:pPr>
      <w:spacing w:after="120"/>
    </w:pPr>
    <w:rPr>
      <w:sz w:val="16"/>
      <w:szCs w:val="16"/>
      <w:lang w:val="x-none"/>
    </w:rPr>
  </w:style>
  <w:style w:type="character" w:customStyle="1" w:styleId="Tijeloteksta3Char">
    <w:name w:val="Tijelo teksta 3 Char"/>
    <w:link w:val="Tijeloteksta3"/>
    <w:rsid w:val="00333CDD"/>
    <w:rPr>
      <w:sz w:val="16"/>
      <w:szCs w:val="16"/>
      <w:lang w:eastAsia="en-US"/>
    </w:rPr>
  </w:style>
  <w:style w:type="paragraph" w:styleId="Naslov">
    <w:name w:val="Title"/>
    <w:basedOn w:val="Normal"/>
    <w:link w:val="NaslovChar"/>
    <w:qFormat/>
    <w:rsid w:val="00D379AD"/>
    <w:pPr>
      <w:jc w:val="center"/>
    </w:pPr>
    <w:rPr>
      <w:b/>
      <w:bCs/>
      <w:lang w:val="x-none" w:eastAsia="x-none"/>
    </w:rPr>
  </w:style>
  <w:style w:type="character" w:customStyle="1" w:styleId="NaslovChar">
    <w:name w:val="Naslov Char"/>
    <w:link w:val="Naslov"/>
    <w:rsid w:val="0046422B"/>
    <w:rPr>
      <w:b/>
      <w:bCs/>
      <w:sz w:val="24"/>
      <w:szCs w:val="24"/>
    </w:rPr>
  </w:style>
  <w:style w:type="paragraph" w:styleId="Tijeloteksta-uvlaka3">
    <w:name w:val="Body Text Indent 3"/>
    <w:aliases w:val=" uvlaka 3"/>
    <w:basedOn w:val="Normal"/>
    <w:link w:val="Tijeloteksta-uvlaka3Char"/>
    <w:rsid w:val="00D379AD"/>
    <w:pPr>
      <w:ind w:left="1440" w:hanging="1440"/>
    </w:pPr>
    <w:rPr>
      <w:rFonts w:ascii="Arial" w:hAnsi="Arial"/>
      <w:sz w:val="20"/>
      <w:lang w:val="x-none"/>
    </w:rPr>
  </w:style>
  <w:style w:type="character" w:customStyle="1" w:styleId="Tijeloteksta-uvlaka3Char">
    <w:name w:val="Tijelo teksta - uvlaka 3 Char"/>
    <w:aliases w:val=" uvlaka 3 Char"/>
    <w:link w:val="Tijeloteksta-uvlaka3"/>
    <w:rsid w:val="0046422B"/>
    <w:rPr>
      <w:rFonts w:ascii="Arial" w:hAnsi="Arial" w:cs="Arial"/>
      <w:szCs w:val="24"/>
      <w:lang w:eastAsia="en-US"/>
    </w:rPr>
  </w:style>
  <w:style w:type="character" w:styleId="Naglaeno">
    <w:name w:val="Strong"/>
    <w:qFormat/>
    <w:rsid w:val="008A3A68"/>
    <w:rPr>
      <w:b/>
      <w:bCs/>
    </w:rPr>
  </w:style>
  <w:style w:type="paragraph" w:customStyle="1" w:styleId="Bezproreda1">
    <w:name w:val="Bez proreda1"/>
    <w:uiPriority w:val="1"/>
    <w:qFormat/>
    <w:rsid w:val="00A12D14"/>
    <w:rPr>
      <w:rFonts w:ascii="Calibri" w:eastAsia="Calibri" w:hAnsi="Calibri"/>
      <w:sz w:val="22"/>
      <w:szCs w:val="22"/>
      <w:lang w:eastAsia="en-US"/>
    </w:rPr>
  </w:style>
  <w:style w:type="paragraph" w:styleId="Kartadokumenta">
    <w:name w:val="Document Map"/>
    <w:basedOn w:val="Normal"/>
    <w:link w:val="KartadokumentaChar"/>
    <w:rsid w:val="00834ACC"/>
    <w:rPr>
      <w:rFonts w:ascii="Tahoma" w:hAnsi="Tahoma"/>
      <w:sz w:val="16"/>
      <w:szCs w:val="16"/>
      <w:lang w:val="x-none"/>
    </w:rPr>
  </w:style>
  <w:style w:type="character" w:customStyle="1" w:styleId="KartadokumentaChar">
    <w:name w:val="Karta dokumenta Char"/>
    <w:link w:val="Kartadokumenta"/>
    <w:rsid w:val="00834ACC"/>
    <w:rPr>
      <w:rFonts w:ascii="Tahoma" w:hAnsi="Tahoma" w:cs="Tahoma"/>
      <w:sz w:val="16"/>
      <w:szCs w:val="16"/>
      <w:lang w:eastAsia="en-US"/>
    </w:rPr>
  </w:style>
  <w:style w:type="table" w:customStyle="1" w:styleId="Obojanareetka-Isticanje61">
    <w:name w:val="Obojana rešetka - Isticanje 61"/>
    <w:basedOn w:val="Obinatablica"/>
    <w:uiPriority w:val="73"/>
    <w:rsid w:val="00C249A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osjenanje-Isticanje61">
    <w:name w:val="Svijetlo sjenčanje - Isticanje 61"/>
    <w:basedOn w:val="Obinatablica"/>
    <w:uiPriority w:val="60"/>
    <w:rsid w:val="00C249A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Odlomakpopisa1">
    <w:name w:val="Odlomak popisa1"/>
    <w:basedOn w:val="Normal"/>
    <w:uiPriority w:val="34"/>
    <w:qFormat/>
    <w:rsid w:val="003D0CAE"/>
    <w:pPr>
      <w:ind w:left="708"/>
    </w:pPr>
  </w:style>
  <w:style w:type="table" w:styleId="Obojanatablica2">
    <w:name w:val="Table Colorful 2"/>
    <w:basedOn w:val="Obinatablica"/>
    <w:rsid w:val="0062206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Obinitekst">
    <w:name w:val="Plain Text"/>
    <w:basedOn w:val="Normal"/>
    <w:link w:val="ObinitekstChar"/>
    <w:rsid w:val="00BE63FA"/>
    <w:rPr>
      <w:rFonts w:ascii="Courier New" w:hAnsi="Courier New"/>
      <w:sz w:val="20"/>
      <w:szCs w:val="20"/>
      <w:lang w:val="x-none" w:eastAsia="x-none"/>
    </w:rPr>
  </w:style>
  <w:style w:type="character" w:customStyle="1" w:styleId="ObinitekstChar">
    <w:name w:val="Obični tekst Char"/>
    <w:link w:val="Obinitekst"/>
    <w:rsid w:val="00BE63FA"/>
    <w:rPr>
      <w:rFonts w:ascii="Courier New" w:hAnsi="Courier New" w:cs="Courier New"/>
    </w:rPr>
  </w:style>
  <w:style w:type="paragraph" w:customStyle="1" w:styleId="Bezproreda2">
    <w:name w:val="Bez proreda2"/>
    <w:link w:val="BezproredaChar"/>
    <w:uiPriority w:val="1"/>
    <w:qFormat/>
    <w:rsid w:val="0059199B"/>
    <w:rPr>
      <w:sz w:val="24"/>
      <w:szCs w:val="24"/>
      <w:lang w:eastAsia="en-US"/>
    </w:rPr>
  </w:style>
  <w:style w:type="character" w:customStyle="1" w:styleId="BezproredaChar">
    <w:name w:val="Bez proreda Char"/>
    <w:link w:val="Bezproreda2"/>
    <w:uiPriority w:val="1"/>
    <w:rsid w:val="0059199B"/>
    <w:rPr>
      <w:sz w:val="24"/>
      <w:szCs w:val="24"/>
      <w:lang w:val="hr-HR" w:eastAsia="en-US" w:bidi="ar-SA"/>
    </w:rPr>
  </w:style>
  <w:style w:type="paragraph" w:customStyle="1" w:styleId="Arial10">
    <w:name w:val="Arial10"/>
    <w:basedOn w:val="Bezproreda2"/>
    <w:link w:val="Arial10Char"/>
    <w:qFormat/>
    <w:rsid w:val="0059199B"/>
    <w:pPr>
      <w:jc w:val="both"/>
    </w:pPr>
    <w:rPr>
      <w:rFonts w:ascii="Arial" w:hAnsi="Arial" w:cs="Arial"/>
      <w:sz w:val="20"/>
      <w:szCs w:val="20"/>
    </w:rPr>
  </w:style>
  <w:style w:type="paragraph" w:customStyle="1" w:styleId="Odlomakpopisa2">
    <w:name w:val="Odlomak popisa2"/>
    <w:basedOn w:val="Normal"/>
    <w:uiPriority w:val="34"/>
    <w:qFormat/>
    <w:rsid w:val="0085676E"/>
    <w:pPr>
      <w:ind w:left="720"/>
      <w:contextualSpacing/>
    </w:pPr>
    <w:rPr>
      <w:lang w:eastAsia="hr-HR"/>
    </w:rPr>
  </w:style>
  <w:style w:type="character" w:customStyle="1" w:styleId="Arial10Char">
    <w:name w:val="Arial10 Char"/>
    <w:basedOn w:val="BezproredaChar"/>
    <w:link w:val="Arial10"/>
    <w:rsid w:val="0059199B"/>
    <w:rPr>
      <w:sz w:val="24"/>
      <w:szCs w:val="24"/>
      <w:lang w:val="hr-HR" w:eastAsia="en-US" w:bidi="ar-SA"/>
    </w:rPr>
  </w:style>
  <w:style w:type="paragraph" w:styleId="Popis">
    <w:name w:val="List"/>
    <w:basedOn w:val="Normal"/>
    <w:link w:val="PopisChar"/>
    <w:unhideWhenUsed/>
    <w:rsid w:val="00171E2A"/>
    <w:pPr>
      <w:widowControl w:val="0"/>
      <w:snapToGrid w:val="0"/>
      <w:ind w:left="283" w:hanging="283"/>
      <w:jc w:val="both"/>
    </w:pPr>
    <w:rPr>
      <w:rFonts w:ascii="Arial" w:hAnsi="Arial"/>
      <w:szCs w:val="20"/>
      <w:lang w:val="x-none"/>
    </w:rPr>
  </w:style>
  <w:style w:type="character" w:customStyle="1" w:styleId="PopisChar">
    <w:name w:val="Popis Char"/>
    <w:link w:val="Popis"/>
    <w:locked/>
    <w:rsid w:val="00333CDD"/>
    <w:rPr>
      <w:rFonts w:ascii="Arial" w:hAnsi="Arial"/>
      <w:sz w:val="24"/>
      <w:lang w:eastAsia="en-US"/>
    </w:rPr>
  </w:style>
  <w:style w:type="character" w:styleId="Referencafusnote">
    <w:name w:val="footnote reference"/>
    <w:uiPriority w:val="99"/>
    <w:unhideWhenUsed/>
    <w:rsid w:val="004938B9"/>
    <w:rPr>
      <w:vertAlign w:val="superscript"/>
    </w:rPr>
  </w:style>
  <w:style w:type="paragraph" w:styleId="Indeks6">
    <w:name w:val="index 6"/>
    <w:basedOn w:val="Normal"/>
    <w:next w:val="Normal"/>
    <w:autoRedefine/>
    <w:unhideWhenUsed/>
    <w:rsid w:val="00333CDD"/>
    <w:pPr>
      <w:jc w:val="center"/>
    </w:pPr>
    <w:rPr>
      <w:rFonts w:ascii="Arial" w:hAnsi="Arial" w:cs="Arial"/>
      <w:sz w:val="20"/>
      <w:szCs w:val="20"/>
    </w:rPr>
  </w:style>
  <w:style w:type="paragraph" w:customStyle="1" w:styleId="Default">
    <w:name w:val="Default"/>
    <w:rsid w:val="00333CDD"/>
    <w:pPr>
      <w:autoSpaceDE w:val="0"/>
      <w:autoSpaceDN w:val="0"/>
      <w:adjustRightInd w:val="0"/>
    </w:pPr>
    <w:rPr>
      <w:rFonts w:ascii="Arial" w:hAnsi="Arial" w:cs="Arial"/>
      <w:color w:val="000000"/>
      <w:sz w:val="24"/>
      <w:szCs w:val="24"/>
    </w:rPr>
  </w:style>
  <w:style w:type="paragraph" w:styleId="Grafikeoznake">
    <w:name w:val="List Bullet"/>
    <w:basedOn w:val="Normal"/>
    <w:autoRedefine/>
    <w:unhideWhenUsed/>
    <w:rsid w:val="00EB5949"/>
    <w:pPr>
      <w:tabs>
        <w:tab w:val="num" w:pos="360"/>
      </w:tabs>
      <w:ind w:left="360" w:hanging="360"/>
      <w:jc w:val="both"/>
    </w:pPr>
    <w:rPr>
      <w:rFonts w:ascii="Tahoma" w:hAnsi="Tahoma" w:cs="Tahoma"/>
      <w:bCs/>
      <w:szCs w:val="20"/>
      <w:lang w:eastAsia="hr-HR"/>
    </w:rPr>
  </w:style>
  <w:style w:type="paragraph" w:styleId="Popis2">
    <w:name w:val="List 2"/>
    <w:basedOn w:val="Normal"/>
    <w:unhideWhenUsed/>
    <w:rsid w:val="00EB5949"/>
    <w:pPr>
      <w:ind w:left="720" w:hanging="360"/>
    </w:pPr>
    <w:rPr>
      <w:rFonts w:ascii="CRO_Dutch" w:hAnsi="CRO_Dutch"/>
      <w:sz w:val="22"/>
      <w:szCs w:val="20"/>
      <w:lang w:val="en-US"/>
    </w:rPr>
  </w:style>
  <w:style w:type="paragraph" w:styleId="Grafikeoznake2">
    <w:name w:val="List Bullet 2"/>
    <w:basedOn w:val="Normal"/>
    <w:autoRedefine/>
    <w:unhideWhenUsed/>
    <w:rsid w:val="00EB5949"/>
    <w:pPr>
      <w:numPr>
        <w:numId w:val="4"/>
      </w:numPr>
      <w:jc w:val="both"/>
    </w:pPr>
    <w:rPr>
      <w:lang w:eastAsia="hr-HR"/>
    </w:rPr>
  </w:style>
  <w:style w:type="character" w:customStyle="1" w:styleId="TijelotekstaChar1">
    <w:name w:val="Tijelo teksta Char1"/>
    <w:aliases w:val="uvlaka 21 Char1,u Char1"/>
    <w:uiPriority w:val="99"/>
    <w:semiHidden/>
    <w:rsid w:val="00EB5949"/>
    <w:rPr>
      <w:rFonts w:ascii="Arial" w:hAnsi="Arial"/>
      <w:bCs/>
      <w:sz w:val="24"/>
      <w:szCs w:val="24"/>
    </w:rPr>
  </w:style>
  <w:style w:type="paragraph" w:styleId="Datum">
    <w:name w:val="Date"/>
    <w:basedOn w:val="Normal"/>
    <w:next w:val="Normal"/>
    <w:link w:val="DatumChar"/>
    <w:unhideWhenUsed/>
    <w:rsid w:val="00EB5949"/>
    <w:pPr>
      <w:jc w:val="both"/>
    </w:pPr>
    <w:rPr>
      <w:rFonts w:ascii="Tahoma" w:hAnsi="Tahoma"/>
      <w:bCs/>
      <w:szCs w:val="20"/>
      <w:lang w:val="x-none" w:eastAsia="x-none"/>
    </w:rPr>
  </w:style>
  <w:style w:type="character" w:customStyle="1" w:styleId="DatumChar">
    <w:name w:val="Datum Char"/>
    <w:link w:val="Datum"/>
    <w:rsid w:val="00EB5949"/>
    <w:rPr>
      <w:rFonts w:ascii="Tahoma" w:hAnsi="Tahoma" w:cs="Tahoma"/>
      <w:bCs/>
      <w:sz w:val="24"/>
    </w:rPr>
  </w:style>
  <w:style w:type="character" w:customStyle="1" w:styleId="Tijeloteksta-uvlaka2Char1">
    <w:name w:val="Tijelo teksta - uvlaka 2 Char1"/>
    <w:aliases w:val="uvlaka 2 Char1"/>
    <w:semiHidden/>
    <w:rsid w:val="00EB5949"/>
    <w:rPr>
      <w:rFonts w:ascii="Arial" w:hAnsi="Arial"/>
      <w:bCs/>
      <w:sz w:val="24"/>
      <w:szCs w:val="24"/>
    </w:rPr>
  </w:style>
  <w:style w:type="paragraph" w:styleId="Blokteksta">
    <w:name w:val="Block Text"/>
    <w:basedOn w:val="Normal"/>
    <w:unhideWhenUsed/>
    <w:rsid w:val="00EB5949"/>
    <w:pPr>
      <w:spacing w:before="43" w:line="273" w:lineRule="exact"/>
      <w:ind w:left="360" w:right="864"/>
      <w:jc w:val="both"/>
    </w:pPr>
    <w:rPr>
      <w:rFonts w:ascii="Arial" w:hAnsi="Arial"/>
      <w:bCs/>
      <w:szCs w:val="22"/>
      <w:lang w:eastAsia="hr-HR"/>
    </w:rPr>
  </w:style>
  <w:style w:type="paragraph" w:customStyle="1" w:styleId="DefaultText">
    <w:name w:val="Default Text"/>
    <w:basedOn w:val="Normal"/>
    <w:rsid w:val="00EB5949"/>
    <w:pPr>
      <w:widowControl w:val="0"/>
      <w:snapToGrid w:val="0"/>
      <w:spacing w:after="300" w:line="288" w:lineRule="auto"/>
      <w:ind w:firstLine="720"/>
    </w:pPr>
    <w:rPr>
      <w:rFonts w:ascii="Nimrod" w:hAnsi="Nimrod"/>
      <w:bCs/>
      <w:sz w:val="20"/>
      <w:szCs w:val="20"/>
    </w:rPr>
  </w:style>
  <w:style w:type="paragraph" w:customStyle="1" w:styleId="Normal-">
    <w:name w:val="Normal -"/>
    <w:basedOn w:val="Normal"/>
    <w:autoRedefine/>
    <w:rsid w:val="00EB5949"/>
    <w:pPr>
      <w:widowControl w:val="0"/>
      <w:spacing w:before="120"/>
      <w:ind w:right="-2"/>
      <w:jc w:val="both"/>
    </w:pPr>
    <w:rPr>
      <w:rFonts w:ascii="Arial" w:hAnsi="Arial"/>
      <w:b/>
      <w:sz w:val="20"/>
      <w:szCs w:val="20"/>
      <w:lang w:eastAsia="hr-HR"/>
    </w:rPr>
  </w:style>
  <w:style w:type="paragraph" w:customStyle="1" w:styleId="Nabraj">
    <w:name w:val="Nabraj"/>
    <w:basedOn w:val="Normal"/>
    <w:rsid w:val="00EB5949"/>
    <w:pPr>
      <w:spacing w:before="20"/>
      <w:jc w:val="both"/>
    </w:pPr>
    <w:rPr>
      <w:rFonts w:ascii="Arial" w:hAnsi="Arial"/>
      <w:sz w:val="22"/>
      <w:szCs w:val="20"/>
      <w:lang w:eastAsia="hr-HR"/>
    </w:rPr>
  </w:style>
  <w:style w:type="paragraph" w:customStyle="1" w:styleId="Nabraj2">
    <w:name w:val="Nabraj2"/>
    <w:basedOn w:val="Normal"/>
    <w:rsid w:val="00EB5949"/>
    <w:pPr>
      <w:tabs>
        <w:tab w:val="left" w:pos="425"/>
        <w:tab w:val="left" w:pos="709"/>
      </w:tabs>
      <w:jc w:val="both"/>
    </w:pPr>
    <w:rPr>
      <w:rFonts w:ascii="Arial" w:hAnsi="Arial"/>
      <w:sz w:val="22"/>
      <w:szCs w:val="20"/>
      <w:lang w:eastAsia="hr-HR"/>
    </w:rPr>
  </w:style>
  <w:style w:type="paragraph" w:customStyle="1" w:styleId="BodyTextIndent2uvlaka2">
    <w:name w:val="Body Text Indent 2.uvlaka 2"/>
    <w:basedOn w:val="Normal"/>
    <w:rsid w:val="00EB5949"/>
    <w:pPr>
      <w:ind w:left="426" w:hanging="426"/>
    </w:pPr>
    <w:rPr>
      <w:rFonts w:ascii="Arial" w:hAnsi="Arial"/>
      <w:sz w:val="20"/>
      <w:szCs w:val="20"/>
    </w:rPr>
  </w:style>
  <w:style w:type="paragraph" w:customStyle="1" w:styleId="BodyTextIndent3uvlaka3">
    <w:name w:val="Body Text Indent 3.uvlaka 3"/>
    <w:basedOn w:val="Normal"/>
    <w:rsid w:val="00EB5949"/>
    <w:pPr>
      <w:ind w:left="567" w:hanging="567"/>
    </w:pPr>
    <w:rPr>
      <w:rFonts w:ascii="Arial" w:hAnsi="Arial"/>
      <w:b/>
      <w:sz w:val="20"/>
      <w:szCs w:val="20"/>
      <w:lang w:val="en-GB"/>
    </w:rPr>
  </w:style>
  <w:style w:type="paragraph" w:customStyle="1" w:styleId="Tablicatekst">
    <w:name w:val="Tablica tekst"/>
    <w:basedOn w:val="Normal"/>
    <w:rsid w:val="00EB5949"/>
    <w:rPr>
      <w:rFonts w:ascii="Arial" w:hAnsi="Arial"/>
      <w:sz w:val="20"/>
      <w:szCs w:val="20"/>
    </w:rPr>
  </w:style>
  <w:style w:type="paragraph" w:customStyle="1" w:styleId="BodyTextIndent2uvlaka2uvlaka21">
    <w:name w:val="Body Text Indent 2.uvlaka 2.uvlaka 21"/>
    <w:basedOn w:val="Normal"/>
    <w:rsid w:val="00EB5949"/>
    <w:pPr>
      <w:ind w:left="1440"/>
    </w:pPr>
    <w:rPr>
      <w:rFonts w:ascii="Arial" w:hAnsi="Arial"/>
      <w:sz w:val="20"/>
      <w:szCs w:val="20"/>
    </w:rPr>
  </w:style>
  <w:style w:type="paragraph" w:customStyle="1" w:styleId="BodyTextIndent3uvlaka3uvlaka31">
    <w:name w:val="Body Text Indent 3.uvlaka 3.uvlaka 31"/>
    <w:basedOn w:val="Normal"/>
    <w:rsid w:val="00EB5949"/>
    <w:pPr>
      <w:tabs>
        <w:tab w:val="left" w:pos="283"/>
        <w:tab w:val="left" w:pos="426"/>
        <w:tab w:val="right" w:pos="8953"/>
      </w:tabs>
      <w:ind w:left="426"/>
    </w:pPr>
    <w:rPr>
      <w:rFonts w:ascii="Arial" w:hAnsi="Arial"/>
      <w:sz w:val="22"/>
      <w:szCs w:val="20"/>
    </w:rPr>
  </w:style>
  <w:style w:type="paragraph" w:customStyle="1" w:styleId="BodyTextIndent2uvlaka2uvlaka211">
    <w:name w:val="Body Text Indent 2.uvlaka 2.uvlaka 211"/>
    <w:basedOn w:val="Normal"/>
    <w:rsid w:val="00EB5949"/>
    <w:pPr>
      <w:ind w:left="1440"/>
    </w:pPr>
    <w:rPr>
      <w:rFonts w:ascii="Arial" w:hAnsi="Arial"/>
      <w:sz w:val="20"/>
      <w:szCs w:val="20"/>
    </w:rPr>
  </w:style>
  <w:style w:type="paragraph" w:customStyle="1" w:styleId="uvlaka0">
    <w:name w:val="uvlaka 0"/>
    <w:aliases w:val="5 kocka nabrajanje"/>
    <w:basedOn w:val="Normal"/>
    <w:rsid w:val="00EB5949"/>
    <w:pPr>
      <w:numPr>
        <w:numId w:val="5"/>
      </w:numPr>
      <w:ind w:right="-2"/>
      <w:jc w:val="both"/>
    </w:pPr>
    <w:rPr>
      <w:sz w:val="20"/>
      <w:lang w:eastAsia="hr-HR"/>
    </w:rPr>
  </w:style>
  <w:style w:type="paragraph" w:customStyle="1" w:styleId="nabrajanjebold1">
    <w:name w:val="nabrajanje bold 1."/>
    <w:basedOn w:val="tijelotekstabezuvlake"/>
    <w:rsid w:val="00EB5949"/>
    <w:pPr>
      <w:numPr>
        <w:numId w:val="6"/>
      </w:numPr>
    </w:pPr>
    <w:rPr>
      <w:b/>
    </w:rPr>
  </w:style>
  <w:style w:type="paragraph" w:customStyle="1" w:styleId="81nabrajanjeboldsuvlakom">
    <w:name w:val="8.1. nabrajanje bold s uvlakom"/>
    <w:basedOn w:val="Normal"/>
    <w:rsid w:val="00EB5949"/>
    <w:pPr>
      <w:jc w:val="both"/>
    </w:pPr>
    <w:rPr>
      <w:b/>
      <w:sz w:val="20"/>
      <w:lang w:eastAsia="hr-HR"/>
    </w:rPr>
  </w:style>
  <w:style w:type="paragraph" w:customStyle="1" w:styleId="numeriranobezuvlake">
    <w:name w:val="numerirano bez uvlake"/>
    <w:aliases w:val="bold 1.1."/>
    <w:basedOn w:val="Normal"/>
    <w:rsid w:val="00EB5949"/>
    <w:pPr>
      <w:numPr>
        <w:numId w:val="7"/>
      </w:numPr>
      <w:ind w:right="-2"/>
      <w:jc w:val="both"/>
    </w:pPr>
    <w:rPr>
      <w:b/>
      <w:sz w:val="20"/>
      <w:lang w:eastAsia="hr-HR"/>
    </w:rPr>
  </w:style>
  <w:style w:type="paragraph" w:customStyle="1" w:styleId="GRAFOZNAKE-A11">
    <w:name w:val="GRAF OZNAKE - A 11"/>
    <w:basedOn w:val="Normal"/>
    <w:rsid w:val="00EB5949"/>
    <w:pPr>
      <w:numPr>
        <w:numId w:val="8"/>
      </w:numPr>
    </w:pPr>
    <w:rPr>
      <w:lang w:eastAsia="hr-HR"/>
    </w:rPr>
  </w:style>
  <w:style w:type="paragraph" w:customStyle="1" w:styleId="Podnaslovi">
    <w:name w:val="Podnaslovi"/>
    <w:basedOn w:val="Naslov1"/>
    <w:rsid w:val="00EB5949"/>
    <w:pPr>
      <w:tabs>
        <w:tab w:val="left" w:pos="720"/>
      </w:tabs>
      <w:spacing w:before="180" w:after="60"/>
      <w:ind w:left="720" w:hanging="720"/>
      <w:outlineLvl w:val="9"/>
    </w:pPr>
    <w:rPr>
      <w:rFonts w:eastAsia="Times New Roman"/>
      <w:sz w:val="22"/>
    </w:rPr>
  </w:style>
  <w:style w:type="paragraph" w:customStyle="1" w:styleId="Zatablice">
    <w:name w:val="Za_tablice"/>
    <w:basedOn w:val="Normal"/>
    <w:rsid w:val="00EB5949"/>
    <w:pPr>
      <w:autoSpaceDE w:val="0"/>
      <w:autoSpaceDN w:val="0"/>
      <w:jc w:val="both"/>
    </w:pPr>
    <w:rPr>
      <w:sz w:val="20"/>
      <w:szCs w:val="20"/>
      <w:lang w:val="en-GB"/>
    </w:rPr>
  </w:style>
  <w:style w:type="paragraph" w:customStyle="1" w:styleId="lanak">
    <w:name w:val="Članak"/>
    <w:basedOn w:val="Normal"/>
    <w:rsid w:val="00EB5949"/>
    <w:pPr>
      <w:numPr>
        <w:numId w:val="9"/>
      </w:numPr>
      <w:jc w:val="both"/>
    </w:pPr>
    <w:rPr>
      <w:rFonts w:ascii="Arial" w:hAnsi="Arial"/>
      <w:b/>
      <w:sz w:val="22"/>
    </w:rPr>
  </w:style>
  <w:style w:type="paragraph" w:customStyle="1" w:styleId="Style1">
    <w:name w:val="Style1"/>
    <w:basedOn w:val="Tijeloteksta"/>
    <w:rsid w:val="00EB5949"/>
    <w:pPr>
      <w:ind w:left="567" w:hanging="284"/>
      <w:jc w:val="both"/>
    </w:pPr>
    <w:rPr>
      <w:rFonts w:ascii="Arial" w:hAnsi="Arial" w:cs="HRHelvetica"/>
      <w:snapToGrid w:val="0"/>
      <w:sz w:val="20"/>
      <w:szCs w:val="20"/>
      <w:lang w:eastAsia="hr-HR"/>
    </w:rPr>
  </w:style>
  <w:style w:type="paragraph" w:customStyle="1" w:styleId="Tekst">
    <w:name w:val="Tekst"/>
    <w:basedOn w:val="Tijeloteksta"/>
    <w:qFormat/>
    <w:rsid w:val="00EB5949"/>
    <w:pPr>
      <w:spacing w:line="300" w:lineRule="exact"/>
      <w:jc w:val="both"/>
    </w:pPr>
    <w:rPr>
      <w:rFonts w:ascii="Trebuchet MS" w:hAnsi="Trebuchet MS" w:cs="HRHelvetica"/>
      <w:snapToGrid w:val="0"/>
      <w:sz w:val="20"/>
      <w:szCs w:val="20"/>
      <w:lang w:eastAsia="hr-HR"/>
    </w:rPr>
  </w:style>
  <w:style w:type="paragraph" w:styleId="Sadraj2">
    <w:name w:val="toc 2"/>
    <w:basedOn w:val="Normal"/>
    <w:next w:val="Normal"/>
    <w:autoRedefine/>
    <w:unhideWhenUsed/>
    <w:rsid w:val="00011C72"/>
    <w:pPr>
      <w:widowControl w:val="0"/>
      <w:tabs>
        <w:tab w:val="right" w:pos="8788"/>
      </w:tabs>
      <w:snapToGrid w:val="0"/>
      <w:spacing w:before="240"/>
      <w:ind w:left="240"/>
    </w:pPr>
    <w:rPr>
      <w:rFonts w:ascii="Arial" w:hAnsi="Arial"/>
      <w:b/>
      <w:sz w:val="20"/>
      <w:szCs w:val="20"/>
    </w:rPr>
  </w:style>
  <w:style w:type="paragraph" w:styleId="Sadraj1">
    <w:name w:val="toc 1"/>
    <w:basedOn w:val="Sadraj2"/>
    <w:next w:val="Normal"/>
    <w:autoRedefine/>
    <w:unhideWhenUsed/>
    <w:rsid w:val="00011C72"/>
    <w:pPr>
      <w:spacing w:before="360"/>
    </w:pPr>
    <w:rPr>
      <w:caps/>
    </w:rPr>
  </w:style>
  <w:style w:type="paragraph" w:styleId="Sadraj3">
    <w:name w:val="toc 3"/>
    <w:basedOn w:val="Normal"/>
    <w:next w:val="Normal"/>
    <w:autoRedefine/>
    <w:unhideWhenUsed/>
    <w:rsid w:val="00011C72"/>
    <w:pPr>
      <w:widowControl w:val="0"/>
      <w:tabs>
        <w:tab w:val="right" w:pos="8788"/>
      </w:tabs>
      <w:snapToGrid w:val="0"/>
      <w:ind w:left="480"/>
    </w:pPr>
    <w:rPr>
      <w:rFonts w:ascii="Arial" w:hAnsi="Arial"/>
      <w:sz w:val="20"/>
      <w:szCs w:val="20"/>
    </w:rPr>
  </w:style>
  <w:style w:type="paragraph" w:styleId="Sadraj4">
    <w:name w:val="toc 4"/>
    <w:basedOn w:val="Normal"/>
    <w:next w:val="Normal"/>
    <w:autoRedefine/>
    <w:unhideWhenUsed/>
    <w:rsid w:val="00011C72"/>
    <w:pPr>
      <w:widowControl w:val="0"/>
      <w:tabs>
        <w:tab w:val="right" w:pos="8788"/>
      </w:tabs>
      <w:snapToGrid w:val="0"/>
      <w:ind w:left="720"/>
    </w:pPr>
    <w:rPr>
      <w:rFonts w:ascii="Arial" w:hAnsi="Arial"/>
      <w:sz w:val="20"/>
      <w:szCs w:val="20"/>
    </w:rPr>
  </w:style>
  <w:style w:type="paragraph" w:styleId="Sadraj5">
    <w:name w:val="toc 5"/>
    <w:basedOn w:val="Normal"/>
    <w:next w:val="Normal"/>
    <w:autoRedefine/>
    <w:unhideWhenUsed/>
    <w:rsid w:val="00011C72"/>
    <w:pPr>
      <w:widowControl w:val="0"/>
      <w:tabs>
        <w:tab w:val="right" w:pos="8788"/>
      </w:tabs>
      <w:snapToGrid w:val="0"/>
      <w:ind w:left="960"/>
    </w:pPr>
    <w:rPr>
      <w:rFonts w:ascii="Arial" w:hAnsi="Arial"/>
      <w:sz w:val="20"/>
      <w:szCs w:val="20"/>
    </w:rPr>
  </w:style>
  <w:style w:type="paragraph" w:styleId="Sadraj6">
    <w:name w:val="toc 6"/>
    <w:basedOn w:val="Normal"/>
    <w:next w:val="Normal"/>
    <w:autoRedefine/>
    <w:unhideWhenUsed/>
    <w:rsid w:val="00011C72"/>
    <w:pPr>
      <w:widowControl w:val="0"/>
      <w:tabs>
        <w:tab w:val="right" w:pos="8788"/>
      </w:tabs>
      <w:snapToGrid w:val="0"/>
      <w:ind w:left="1200"/>
    </w:pPr>
    <w:rPr>
      <w:rFonts w:ascii="Arial" w:hAnsi="Arial"/>
      <w:szCs w:val="20"/>
    </w:rPr>
  </w:style>
  <w:style w:type="paragraph" w:styleId="Sadraj7">
    <w:name w:val="toc 7"/>
    <w:basedOn w:val="Normal"/>
    <w:next w:val="Normal"/>
    <w:autoRedefine/>
    <w:unhideWhenUsed/>
    <w:rsid w:val="00011C72"/>
    <w:pPr>
      <w:ind w:left="1440"/>
      <w:jc w:val="both"/>
    </w:pPr>
    <w:rPr>
      <w:rFonts w:ascii="Arial" w:hAnsi="Arial"/>
    </w:rPr>
  </w:style>
  <w:style w:type="paragraph" w:styleId="Sadraj8">
    <w:name w:val="toc 8"/>
    <w:basedOn w:val="Normal"/>
    <w:next w:val="Normal"/>
    <w:autoRedefine/>
    <w:unhideWhenUsed/>
    <w:rsid w:val="00011C72"/>
    <w:pPr>
      <w:ind w:left="1680"/>
      <w:jc w:val="both"/>
    </w:pPr>
    <w:rPr>
      <w:rFonts w:ascii="Arial" w:hAnsi="Arial"/>
    </w:rPr>
  </w:style>
  <w:style w:type="paragraph" w:styleId="Sadraj9">
    <w:name w:val="toc 9"/>
    <w:basedOn w:val="Normal"/>
    <w:next w:val="Normal"/>
    <w:autoRedefine/>
    <w:unhideWhenUsed/>
    <w:rsid w:val="00011C72"/>
    <w:pPr>
      <w:ind w:left="1920"/>
      <w:jc w:val="both"/>
    </w:pPr>
    <w:rPr>
      <w:rFonts w:ascii="Arial" w:hAnsi="Arial"/>
    </w:rPr>
  </w:style>
  <w:style w:type="paragraph" w:styleId="Obinouvueno">
    <w:name w:val="Normal Indent"/>
    <w:basedOn w:val="Normal"/>
    <w:unhideWhenUsed/>
    <w:rsid w:val="00011C72"/>
    <w:pPr>
      <w:tabs>
        <w:tab w:val="num" w:pos="1440"/>
      </w:tabs>
      <w:overflowPunct w:val="0"/>
      <w:autoSpaceDE w:val="0"/>
      <w:autoSpaceDN w:val="0"/>
      <w:adjustRightInd w:val="0"/>
      <w:ind w:left="1440" w:hanging="360"/>
      <w:jc w:val="both"/>
    </w:pPr>
    <w:rPr>
      <w:rFonts w:ascii="Arial" w:hAnsi="Arial" w:cs="Arial"/>
      <w:i/>
      <w:iCs/>
      <w:sz w:val="22"/>
      <w:szCs w:val="20"/>
    </w:rPr>
  </w:style>
  <w:style w:type="paragraph" w:customStyle="1" w:styleId="Normal2">
    <w:name w:val="Normal2"/>
    <w:basedOn w:val="Normal"/>
    <w:rsid w:val="00011C72"/>
    <w:pPr>
      <w:spacing w:line="360" w:lineRule="auto"/>
      <w:jc w:val="both"/>
    </w:pPr>
    <w:rPr>
      <w:szCs w:val="20"/>
    </w:rPr>
  </w:style>
  <w:style w:type="paragraph" w:customStyle="1" w:styleId="font5">
    <w:name w:val="font5"/>
    <w:basedOn w:val="Normal"/>
    <w:rsid w:val="00011C72"/>
    <w:pPr>
      <w:spacing w:before="100" w:beforeAutospacing="1" w:after="100" w:afterAutospacing="1"/>
    </w:pPr>
    <w:rPr>
      <w:rFonts w:ascii="Arial" w:hAnsi="Arial" w:cs="Arial"/>
    </w:rPr>
  </w:style>
  <w:style w:type="paragraph" w:customStyle="1" w:styleId="nabrajanje">
    <w:name w:val="nabrajanje"/>
    <w:basedOn w:val="Normal"/>
    <w:autoRedefine/>
    <w:rsid w:val="00011C72"/>
    <w:pPr>
      <w:tabs>
        <w:tab w:val="left" w:pos="-2268"/>
        <w:tab w:val="num" w:pos="644"/>
      </w:tabs>
      <w:overflowPunct w:val="0"/>
      <w:autoSpaceDE w:val="0"/>
      <w:autoSpaceDN w:val="0"/>
      <w:adjustRightInd w:val="0"/>
      <w:ind w:left="567" w:hanging="283"/>
    </w:pPr>
    <w:rPr>
      <w:rFonts w:ascii="Tahoma" w:hAnsi="Tahoma" w:cs="Tahoma"/>
      <w:bCs/>
      <w:sz w:val="22"/>
      <w:szCs w:val="20"/>
      <w:lang w:eastAsia="hr-HR"/>
    </w:rPr>
  </w:style>
  <w:style w:type="paragraph" w:customStyle="1" w:styleId="BodyText21">
    <w:name w:val="Body Text 21"/>
    <w:basedOn w:val="Normal"/>
    <w:rsid w:val="00011C72"/>
    <w:pPr>
      <w:tabs>
        <w:tab w:val="left" w:pos="851"/>
        <w:tab w:val="left" w:pos="1418"/>
      </w:tabs>
      <w:overflowPunct w:val="0"/>
      <w:autoSpaceDE w:val="0"/>
      <w:autoSpaceDN w:val="0"/>
      <w:adjustRightInd w:val="0"/>
      <w:ind w:left="851" w:hanging="851"/>
      <w:jc w:val="both"/>
    </w:pPr>
    <w:rPr>
      <w:rFonts w:cs="Tahoma"/>
      <w:szCs w:val="20"/>
      <w:lang w:eastAsia="hr-HR"/>
    </w:rPr>
  </w:style>
  <w:style w:type="paragraph" w:customStyle="1" w:styleId="font6">
    <w:name w:val="font6"/>
    <w:basedOn w:val="Normal"/>
    <w:rsid w:val="00011C72"/>
    <w:pPr>
      <w:spacing w:before="100" w:beforeAutospacing="1" w:after="100" w:afterAutospacing="1"/>
    </w:pPr>
    <w:rPr>
      <w:rFonts w:ascii="Arial" w:eastAsia="Arial Unicode MS" w:hAnsi="Arial" w:cs="Arial"/>
      <w:sz w:val="20"/>
      <w:szCs w:val="20"/>
      <w:lang w:val="en-GB"/>
    </w:rPr>
  </w:style>
  <w:style w:type="paragraph" w:customStyle="1" w:styleId="xl38">
    <w:name w:val="xl38"/>
    <w:basedOn w:val="Normal"/>
    <w:rsid w:val="00011C72"/>
    <w:pPr>
      <w:pBdr>
        <w:bottom w:val="single" w:sz="12" w:space="0" w:color="auto"/>
        <w:right w:val="single" w:sz="12" w:space="0" w:color="auto"/>
      </w:pBdr>
      <w:spacing w:before="100" w:beforeAutospacing="1" w:after="100" w:afterAutospacing="1"/>
    </w:pPr>
    <w:rPr>
      <w:rFonts w:ascii="Arial Unicode MS" w:eastAsia="Arial Unicode MS" w:hAnsi="Arial Unicode MS" w:cs="Arial Unicode MS"/>
      <w:lang w:val="en-GB"/>
    </w:rPr>
  </w:style>
  <w:style w:type="paragraph" w:customStyle="1" w:styleId="xl39">
    <w:name w:val="xl39"/>
    <w:basedOn w:val="Normal"/>
    <w:rsid w:val="00011C72"/>
    <w:pPr>
      <w:pBdr>
        <w:top w:val="single" w:sz="12" w:space="0" w:color="auto"/>
        <w:left w:val="single" w:sz="12" w:space="0" w:color="auto"/>
        <w:right w:val="single" w:sz="12" w:space="0" w:color="auto"/>
      </w:pBdr>
      <w:spacing w:before="100" w:beforeAutospacing="1" w:after="100" w:afterAutospacing="1"/>
    </w:pPr>
    <w:rPr>
      <w:rFonts w:ascii="Arial Unicode MS" w:eastAsia="Arial Unicode MS" w:hAnsi="Arial Unicode MS" w:cs="Arial Unicode MS"/>
      <w:lang w:val="en-GB"/>
    </w:rPr>
  </w:style>
  <w:style w:type="paragraph" w:customStyle="1" w:styleId="xl40">
    <w:name w:val="xl40"/>
    <w:basedOn w:val="Normal"/>
    <w:rsid w:val="00011C72"/>
    <w:pPr>
      <w:pBdr>
        <w:left w:val="single" w:sz="12" w:space="0" w:color="auto"/>
        <w:right w:val="single" w:sz="12" w:space="0" w:color="auto"/>
      </w:pBdr>
      <w:spacing w:before="100" w:beforeAutospacing="1" w:after="100" w:afterAutospacing="1"/>
    </w:pPr>
    <w:rPr>
      <w:rFonts w:ascii="Arial Unicode MS" w:eastAsia="Arial Unicode MS" w:hAnsi="Arial Unicode MS" w:cs="Arial Unicode MS"/>
      <w:lang w:val="en-GB"/>
    </w:rPr>
  </w:style>
  <w:style w:type="paragraph" w:customStyle="1" w:styleId="xl41">
    <w:name w:val="xl41"/>
    <w:basedOn w:val="Normal"/>
    <w:rsid w:val="00011C72"/>
    <w:pPr>
      <w:pBdr>
        <w:left w:val="single" w:sz="12"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n-GB"/>
    </w:rPr>
  </w:style>
  <w:style w:type="paragraph" w:customStyle="1" w:styleId="xl42">
    <w:name w:val="xl42"/>
    <w:basedOn w:val="Normal"/>
    <w:rsid w:val="00011C72"/>
    <w:pPr>
      <w:pBdr>
        <w:top w:val="single" w:sz="4" w:space="0" w:color="auto"/>
        <w:left w:val="single" w:sz="12" w:space="0" w:color="auto"/>
        <w:right w:val="single" w:sz="12" w:space="0" w:color="auto"/>
      </w:pBdr>
      <w:spacing w:before="100" w:beforeAutospacing="1" w:after="100" w:afterAutospacing="1"/>
    </w:pPr>
    <w:rPr>
      <w:rFonts w:ascii="Arial Unicode MS" w:eastAsia="Arial Unicode MS" w:hAnsi="Arial Unicode MS" w:cs="Arial Unicode MS"/>
      <w:lang w:val="en-GB"/>
    </w:rPr>
  </w:style>
  <w:style w:type="paragraph" w:customStyle="1" w:styleId="xl43">
    <w:name w:val="xl43"/>
    <w:basedOn w:val="Normal"/>
    <w:rsid w:val="00011C72"/>
    <w:pPr>
      <w:pBdr>
        <w:left w:val="single" w:sz="12"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lang w:val="en-GB"/>
    </w:rPr>
  </w:style>
  <w:style w:type="paragraph" w:customStyle="1" w:styleId="xl44">
    <w:name w:val="xl44"/>
    <w:basedOn w:val="Normal"/>
    <w:rsid w:val="00011C72"/>
    <w:pPr>
      <w:pBdr>
        <w:top w:val="single" w:sz="12"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45">
    <w:name w:val="xl45"/>
    <w:basedOn w:val="Normal"/>
    <w:rsid w:val="00011C72"/>
    <w:pPr>
      <w:spacing w:before="100" w:beforeAutospacing="1" w:after="100" w:afterAutospacing="1"/>
    </w:pPr>
    <w:rPr>
      <w:rFonts w:ascii="Arial Unicode MS" w:eastAsia="Arial Unicode MS" w:hAnsi="Arial Unicode MS" w:cs="Arial Unicode MS"/>
      <w:lang w:val="en-GB"/>
    </w:rPr>
  </w:style>
  <w:style w:type="paragraph" w:customStyle="1" w:styleId="xl46">
    <w:name w:val="xl46"/>
    <w:basedOn w:val="Normal"/>
    <w:rsid w:val="00011C72"/>
    <w:pPr>
      <w:pBdr>
        <w:top w:val="single" w:sz="12" w:space="0" w:color="auto"/>
        <w:left w:val="single" w:sz="12" w:space="0" w:color="auto"/>
      </w:pBdr>
      <w:spacing w:before="100" w:beforeAutospacing="1" w:after="100" w:afterAutospacing="1"/>
    </w:pPr>
    <w:rPr>
      <w:rFonts w:ascii="Arial" w:eastAsia="Arial Unicode MS" w:hAnsi="Arial" w:cs="Arial"/>
      <w:b/>
      <w:bCs/>
      <w:lang w:val="en-GB"/>
    </w:rPr>
  </w:style>
  <w:style w:type="paragraph" w:customStyle="1" w:styleId="xl47">
    <w:name w:val="xl47"/>
    <w:basedOn w:val="Normal"/>
    <w:rsid w:val="00011C72"/>
    <w:pPr>
      <w:pBdr>
        <w:top w:val="single" w:sz="12" w:space="0" w:color="auto"/>
      </w:pBdr>
      <w:spacing w:before="100" w:beforeAutospacing="1" w:after="100" w:afterAutospacing="1"/>
    </w:pPr>
    <w:rPr>
      <w:rFonts w:ascii="Arial" w:eastAsia="Arial Unicode MS" w:hAnsi="Arial" w:cs="Arial"/>
      <w:b/>
      <w:bCs/>
      <w:lang w:val="en-GB"/>
    </w:rPr>
  </w:style>
  <w:style w:type="paragraph" w:customStyle="1" w:styleId="xl48">
    <w:name w:val="xl48"/>
    <w:basedOn w:val="Normal"/>
    <w:rsid w:val="00011C72"/>
    <w:pPr>
      <w:pBdr>
        <w:top w:val="single" w:sz="12" w:space="0" w:color="auto"/>
        <w:right w:val="single" w:sz="12" w:space="0" w:color="auto"/>
      </w:pBdr>
      <w:spacing w:before="100" w:beforeAutospacing="1" w:after="100" w:afterAutospacing="1"/>
    </w:pPr>
    <w:rPr>
      <w:rFonts w:ascii="Arial" w:eastAsia="Arial Unicode MS" w:hAnsi="Arial" w:cs="Arial"/>
      <w:b/>
      <w:bCs/>
      <w:lang w:val="en-GB"/>
    </w:rPr>
  </w:style>
  <w:style w:type="paragraph" w:customStyle="1" w:styleId="xl49">
    <w:name w:val="xl49"/>
    <w:basedOn w:val="Normal"/>
    <w:rsid w:val="00011C72"/>
    <w:pPr>
      <w:pBdr>
        <w:left w:val="single" w:sz="12" w:space="0" w:color="auto"/>
      </w:pBdr>
      <w:spacing w:before="100" w:beforeAutospacing="1" w:after="100" w:afterAutospacing="1"/>
    </w:pPr>
    <w:rPr>
      <w:rFonts w:ascii="Arial" w:eastAsia="Arial Unicode MS" w:hAnsi="Arial" w:cs="Arial"/>
      <w:b/>
      <w:bCs/>
      <w:lang w:val="en-GB"/>
    </w:rPr>
  </w:style>
  <w:style w:type="paragraph" w:customStyle="1" w:styleId="xl50">
    <w:name w:val="xl50"/>
    <w:basedOn w:val="Normal"/>
    <w:rsid w:val="00011C72"/>
    <w:pPr>
      <w:spacing w:before="100" w:beforeAutospacing="1" w:after="100" w:afterAutospacing="1"/>
    </w:pPr>
    <w:rPr>
      <w:rFonts w:ascii="Arial" w:eastAsia="Arial Unicode MS" w:hAnsi="Arial" w:cs="Arial"/>
      <w:b/>
      <w:bCs/>
      <w:lang w:val="en-GB"/>
    </w:rPr>
  </w:style>
  <w:style w:type="paragraph" w:customStyle="1" w:styleId="xl51">
    <w:name w:val="xl51"/>
    <w:basedOn w:val="Normal"/>
    <w:rsid w:val="00011C72"/>
    <w:pPr>
      <w:pBdr>
        <w:right w:val="single" w:sz="12" w:space="0" w:color="auto"/>
      </w:pBdr>
      <w:spacing w:before="100" w:beforeAutospacing="1" w:after="100" w:afterAutospacing="1"/>
    </w:pPr>
    <w:rPr>
      <w:rFonts w:ascii="Arial" w:eastAsia="Arial Unicode MS" w:hAnsi="Arial" w:cs="Arial"/>
      <w:b/>
      <w:bCs/>
      <w:lang w:val="en-GB"/>
    </w:rPr>
  </w:style>
  <w:style w:type="paragraph" w:customStyle="1" w:styleId="xl52">
    <w:name w:val="xl52"/>
    <w:basedOn w:val="Normal"/>
    <w:rsid w:val="00011C72"/>
    <w:pPr>
      <w:pBdr>
        <w:top w:val="single" w:sz="4" w:space="0" w:color="auto"/>
      </w:pBdr>
      <w:spacing w:before="100" w:beforeAutospacing="1" w:after="100" w:afterAutospacing="1"/>
    </w:pPr>
    <w:rPr>
      <w:rFonts w:ascii="Arial Unicode MS" w:eastAsia="Arial Unicode MS" w:hAnsi="Arial Unicode MS" w:cs="Arial Unicode MS"/>
      <w:lang w:val="en-GB"/>
    </w:rPr>
  </w:style>
  <w:style w:type="paragraph" w:styleId="Popis3">
    <w:name w:val="List 3"/>
    <w:basedOn w:val="Normal"/>
    <w:rsid w:val="00FF1BF5"/>
    <w:pPr>
      <w:ind w:left="849" w:hanging="283"/>
      <w:contextualSpacing/>
    </w:pPr>
  </w:style>
  <w:style w:type="paragraph" w:styleId="Nastavakpopisa2">
    <w:name w:val="List Continue 2"/>
    <w:basedOn w:val="Normal"/>
    <w:unhideWhenUsed/>
    <w:rsid w:val="00FF1BF5"/>
    <w:pPr>
      <w:spacing w:after="120"/>
      <w:ind w:left="566"/>
      <w:contextualSpacing/>
    </w:pPr>
    <w:rPr>
      <w:lang w:eastAsia="hr-HR"/>
    </w:rPr>
  </w:style>
  <w:style w:type="paragraph" w:styleId="Bezproreda">
    <w:name w:val="No Spacing"/>
    <w:link w:val="BezproredaChar1"/>
    <w:uiPriority w:val="1"/>
    <w:qFormat/>
    <w:rsid w:val="00622859"/>
    <w:rPr>
      <w:rFonts w:ascii="Calibri" w:hAnsi="Calibri"/>
      <w:sz w:val="22"/>
      <w:szCs w:val="22"/>
    </w:rPr>
  </w:style>
  <w:style w:type="character" w:customStyle="1" w:styleId="BezproredaChar1">
    <w:name w:val="Bez proreda Char1"/>
    <w:link w:val="Bezproreda"/>
    <w:uiPriority w:val="1"/>
    <w:rsid w:val="000C2041"/>
    <w:rPr>
      <w:rFonts w:ascii="Calibri" w:hAnsi="Calibri"/>
      <w:sz w:val="22"/>
      <w:szCs w:val="22"/>
      <w:lang w:val="hr-HR" w:eastAsia="hr-HR" w:bidi="ar-SA"/>
    </w:rPr>
  </w:style>
  <w:style w:type="paragraph" w:styleId="Odlomakpopisa">
    <w:name w:val="List Paragraph"/>
    <w:basedOn w:val="Normal"/>
    <w:uiPriority w:val="34"/>
    <w:qFormat/>
    <w:rsid w:val="000C2041"/>
    <w:pPr>
      <w:ind w:left="720"/>
      <w:contextualSpacing/>
    </w:pPr>
    <w:rPr>
      <w:lang w:eastAsia="hr-HR"/>
    </w:rPr>
  </w:style>
  <w:style w:type="paragraph" w:customStyle="1" w:styleId="StyleHeading310pt">
    <w:name w:val="Style Heading 3 + 10 pt"/>
    <w:basedOn w:val="Naslov3"/>
    <w:link w:val="StyleHeading310ptChar"/>
    <w:autoRedefine/>
    <w:rsid w:val="0064671A"/>
    <w:pPr>
      <w:widowControl w:val="0"/>
      <w:pBdr>
        <w:bottom w:val="single" w:sz="4" w:space="1" w:color="auto"/>
      </w:pBdr>
      <w:spacing w:before="120" w:after="120"/>
      <w:jc w:val="both"/>
    </w:pPr>
    <w:rPr>
      <w:snapToGrid w:val="0"/>
      <w:lang w:val="de-AT"/>
    </w:rPr>
  </w:style>
  <w:style w:type="character" w:customStyle="1" w:styleId="StyleHeading310ptChar">
    <w:name w:val="Style Heading 3 + 10 pt Char"/>
    <w:link w:val="StyleHeading310pt"/>
    <w:rsid w:val="0064671A"/>
    <w:rPr>
      <w:rFonts w:ascii="Arial" w:hAnsi="Arial" w:cs="Arial"/>
      <w:b/>
      <w:bCs/>
      <w:snapToGrid w:val="0"/>
      <w:sz w:val="26"/>
      <w:szCs w:val="26"/>
      <w:lang w:val="de-AT" w:eastAsia="en-US"/>
    </w:rPr>
  </w:style>
  <w:style w:type="paragraph" w:customStyle="1" w:styleId="text">
    <w:name w:val="text"/>
    <w:basedOn w:val="Normal"/>
    <w:rsid w:val="001634C8"/>
    <w:pPr>
      <w:spacing w:before="100" w:beforeAutospacing="1" w:after="100" w:afterAutospacing="1" w:line="300" w:lineRule="atLeast"/>
      <w:jc w:val="both"/>
    </w:pPr>
    <w:rPr>
      <w:rFonts w:ascii="Century Gothic" w:hAnsi="Century Gothic"/>
      <w:sz w:val="20"/>
      <w:szCs w:val="20"/>
      <w:lang w:eastAsia="hr-HR"/>
    </w:rPr>
  </w:style>
  <w:style w:type="paragraph" w:customStyle="1" w:styleId="t-11-9-sred">
    <w:name w:val="t-11-9-sred"/>
    <w:basedOn w:val="Normal"/>
    <w:rsid w:val="00E26963"/>
    <w:pPr>
      <w:spacing w:before="100" w:beforeAutospacing="1" w:after="100" w:afterAutospacing="1"/>
      <w:jc w:val="center"/>
    </w:pPr>
    <w:rPr>
      <w:sz w:val="28"/>
      <w:szCs w:val="28"/>
      <w:lang w:eastAsia="hr-HR"/>
    </w:rPr>
  </w:style>
  <w:style w:type="paragraph" w:customStyle="1" w:styleId="t-9-8-sredina">
    <w:name w:val="t-9-8-sredina"/>
    <w:basedOn w:val="Normal"/>
    <w:rsid w:val="00E26963"/>
    <w:pPr>
      <w:spacing w:before="100" w:beforeAutospacing="1" w:after="100" w:afterAutospacing="1"/>
      <w:jc w:val="center"/>
    </w:pPr>
    <w:rPr>
      <w:lang w:eastAsia="hr-HR"/>
    </w:rPr>
  </w:style>
  <w:style w:type="paragraph" w:customStyle="1" w:styleId="clanak">
    <w:name w:val="clanak"/>
    <w:basedOn w:val="Normal"/>
    <w:rsid w:val="00E26963"/>
    <w:pPr>
      <w:spacing w:before="100" w:beforeAutospacing="1" w:after="100" w:afterAutospacing="1"/>
      <w:jc w:val="center"/>
    </w:pPr>
    <w:rPr>
      <w:lang w:eastAsia="hr-HR"/>
    </w:rPr>
  </w:style>
  <w:style w:type="paragraph" w:customStyle="1" w:styleId="t-9-8">
    <w:name w:val="t-9-8"/>
    <w:basedOn w:val="Normal"/>
    <w:rsid w:val="00E26963"/>
    <w:pPr>
      <w:spacing w:before="100" w:beforeAutospacing="1" w:after="100" w:afterAutospacing="1"/>
    </w:pPr>
    <w:rPr>
      <w:lang w:eastAsia="hr-HR"/>
    </w:rPr>
  </w:style>
  <w:style w:type="paragraph" w:customStyle="1" w:styleId="klasa2">
    <w:name w:val="klasa2"/>
    <w:basedOn w:val="Normal"/>
    <w:rsid w:val="00E26963"/>
    <w:pPr>
      <w:spacing w:before="100" w:beforeAutospacing="1" w:after="100" w:afterAutospacing="1"/>
    </w:pPr>
    <w:rPr>
      <w:lang w:eastAsia="hr-HR"/>
    </w:rPr>
  </w:style>
  <w:style w:type="paragraph" w:customStyle="1" w:styleId="NoSpacing1">
    <w:name w:val="No Spacing1"/>
    <w:link w:val="NoSpacingChar"/>
    <w:uiPriority w:val="1"/>
    <w:qFormat/>
    <w:rsid w:val="0012666F"/>
    <w:rPr>
      <w:rFonts w:ascii="Calibri" w:hAnsi="Calibri"/>
      <w:sz w:val="22"/>
      <w:szCs w:val="22"/>
    </w:rPr>
  </w:style>
  <w:style w:type="paragraph" w:customStyle="1" w:styleId="StyleNormalWebArial11ptJustifiedBeforeAutoAfter">
    <w:name w:val="Style Normal (Web) + Arial 11 pt Justified Before:  Auto After:..."/>
    <w:basedOn w:val="StandardWeb"/>
    <w:rsid w:val="00945E2A"/>
    <w:pPr>
      <w:spacing w:before="0" w:beforeAutospacing="0" w:after="0" w:afterAutospacing="0" w:line="0" w:lineRule="atLeast"/>
      <w:jc w:val="both"/>
    </w:pPr>
    <w:rPr>
      <w:rFonts w:ascii="Arial" w:hAnsi="Arial"/>
      <w:sz w:val="22"/>
      <w:szCs w:val="20"/>
    </w:rPr>
  </w:style>
  <w:style w:type="character" w:customStyle="1" w:styleId="podnaslovi0">
    <w:name w:val="podnaslovi"/>
    <w:rsid w:val="00F52FDC"/>
    <w:rPr>
      <w:rFonts w:ascii="Century Gothic" w:hAnsi="Century Gothic"/>
      <w:sz w:val="22"/>
    </w:rPr>
  </w:style>
  <w:style w:type="paragraph" w:customStyle="1" w:styleId="T-98">
    <w:name w:val="T-9/8"/>
    <w:uiPriority w:val="99"/>
    <w:semiHidden/>
    <w:rsid w:val="00F25027"/>
    <w:pPr>
      <w:widowControl w:val="0"/>
      <w:autoSpaceDE w:val="0"/>
      <w:autoSpaceDN w:val="0"/>
      <w:adjustRightInd w:val="0"/>
      <w:spacing w:before="85" w:after="43" w:line="230" w:lineRule="atLeast"/>
      <w:jc w:val="center"/>
    </w:pPr>
    <w:rPr>
      <w:rFonts w:ascii="Times-NewRoman" w:hAnsi="Times-NewRoman"/>
      <w:color w:val="000000"/>
      <w:sz w:val="21"/>
      <w:szCs w:val="21"/>
    </w:rPr>
  </w:style>
  <w:style w:type="character" w:customStyle="1" w:styleId="apple-converted-space">
    <w:name w:val="apple-converted-space"/>
    <w:basedOn w:val="Zadanifontodlomka"/>
    <w:rsid w:val="00A5309B"/>
  </w:style>
  <w:style w:type="paragraph" w:customStyle="1" w:styleId="xl63">
    <w:name w:val="xl63"/>
    <w:basedOn w:val="Normal"/>
    <w:rsid w:val="001F2C43"/>
    <w:pPr>
      <w:spacing w:before="100" w:beforeAutospacing="1" w:after="100" w:afterAutospacing="1"/>
    </w:pPr>
    <w:rPr>
      <w:b/>
      <w:bCs/>
      <w:lang w:eastAsia="hr-HR"/>
    </w:rPr>
  </w:style>
  <w:style w:type="paragraph" w:customStyle="1" w:styleId="xl64">
    <w:name w:val="xl64"/>
    <w:basedOn w:val="Normal"/>
    <w:rsid w:val="001F2C43"/>
    <w:pPr>
      <w:spacing w:before="100" w:beforeAutospacing="1" w:after="100" w:afterAutospacing="1"/>
    </w:pPr>
    <w:rPr>
      <w:lang w:eastAsia="hr-HR"/>
    </w:rPr>
  </w:style>
  <w:style w:type="paragraph" w:customStyle="1" w:styleId="xl65">
    <w:name w:val="xl65"/>
    <w:basedOn w:val="Normal"/>
    <w:rsid w:val="001F2C43"/>
    <w:pPr>
      <w:spacing w:before="100" w:beforeAutospacing="1" w:after="100" w:afterAutospacing="1"/>
    </w:pPr>
    <w:rPr>
      <w:rFonts w:ascii="Arial" w:hAnsi="Arial" w:cs="Arial"/>
      <w:b/>
      <w:bCs/>
      <w:sz w:val="18"/>
      <w:szCs w:val="18"/>
      <w:lang w:eastAsia="hr-HR"/>
    </w:rPr>
  </w:style>
  <w:style w:type="paragraph" w:customStyle="1" w:styleId="xl66">
    <w:name w:val="xl66"/>
    <w:basedOn w:val="Normal"/>
    <w:rsid w:val="001F2C43"/>
    <w:pPr>
      <w:spacing w:before="100" w:beforeAutospacing="1" w:after="100" w:afterAutospacing="1"/>
    </w:pPr>
    <w:rPr>
      <w:rFonts w:ascii="Arial" w:hAnsi="Arial" w:cs="Arial"/>
      <w:sz w:val="18"/>
      <w:szCs w:val="18"/>
      <w:lang w:eastAsia="hr-HR"/>
    </w:rPr>
  </w:style>
  <w:style w:type="paragraph" w:customStyle="1" w:styleId="xl67">
    <w:name w:val="xl67"/>
    <w:basedOn w:val="Normal"/>
    <w:rsid w:val="001F2C43"/>
    <w:pPr>
      <w:shd w:val="clear" w:color="000000" w:fill="C0C0C0"/>
      <w:spacing w:before="100" w:beforeAutospacing="1" w:after="100" w:afterAutospacing="1"/>
    </w:pPr>
    <w:rPr>
      <w:rFonts w:ascii="Arial" w:hAnsi="Arial" w:cs="Arial"/>
      <w:b/>
      <w:bCs/>
      <w:sz w:val="18"/>
      <w:szCs w:val="18"/>
      <w:lang w:eastAsia="hr-HR"/>
    </w:rPr>
  </w:style>
  <w:style w:type="paragraph" w:customStyle="1" w:styleId="xl68">
    <w:name w:val="xl68"/>
    <w:basedOn w:val="Normal"/>
    <w:rsid w:val="001F2C43"/>
    <w:pPr>
      <w:shd w:val="clear" w:color="000000" w:fill="505050"/>
      <w:spacing w:before="100" w:beforeAutospacing="1" w:after="100" w:afterAutospacing="1"/>
    </w:pPr>
    <w:rPr>
      <w:rFonts w:ascii="Arial" w:hAnsi="Arial" w:cs="Arial"/>
      <w:b/>
      <w:bCs/>
      <w:color w:val="FFFFFF"/>
      <w:sz w:val="18"/>
      <w:szCs w:val="18"/>
      <w:lang w:eastAsia="hr-HR"/>
    </w:rPr>
  </w:style>
  <w:style w:type="paragraph" w:customStyle="1" w:styleId="xl69">
    <w:name w:val="xl69"/>
    <w:basedOn w:val="Normal"/>
    <w:rsid w:val="001F2C43"/>
    <w:pPr>
      <w:shd w:val="clear" w:color="000000" w:fill="505050"/>
      <w:spacing w:before="100" w:beforeAutospacing="1" w:after="100" w:afterAutospacing="1"/>
    </w:pPr>
    <w:rPr>
      <w:rFonts w:ascii="Arial" w:hAnsi="Arial" w:cs="Arial"/>
      <w:b/>
      <w:bCs/>
      <w:color w:val="FFFFFF"/>
      <w:sz w:val="18"/>
      <w:szCs w:val="18"/>
      <w:lang w:eastAsia="hr-HR"/>
    </w:rPr>
  </w:style>
  <w:style w:type="paragraph" w:customStyle="1" w:styleId="xl70">
    <w:name w:val="xl70"/>
    <w:basedOn w:val="Normal"/>
    <w:rsid w:val="001F2C43"/>
    <w:pPr>
      <w:shd w:val="clear" w:color="000000" w:fill="000080"/>
      <w:spacing w:before="100" w:beforeAutospacing="1" w:after="100" w:afterAutospacing="1"/>
    </w:pPr>
    <w:rPr>
      <w:rFonts w:ascii="Arial" w:hAnsi="Arial" w:cs="Arial"/>
      <w:b/>
      <w:bCs/>
      <w:color w:val="FFFFFF"/>
      <w:sz w:val="18"/>
      <w:szCs w:val="18"/>
      <w:lang w:eastAsia="hr-HR"/>
    </w:rPr>
  </w:style>
  <w:style w:type="paragraph" w:customStyle="1" w:styleId="xl71">
    <w:name w:val="xl71"/>
    <w:basedOn w:val="Normal"/>
    <w:rsid w:val="001F2C43"/>
    <w:pPr>
      <w:shd w:val="clear" w:color="000000" w:fill="000080"/>
      <w:spacing w:before="100" w:beforeAutospacing="1" w:after="100" w:afterAutospacing="1"/>
    </w:pPr>
    <w:rPr>
      <w:rFonts w:ascii="Arial" w:hAnsi="Arial" w:cs="Arial"/>
      <w:b/>
      <w:bCs/>
      <w:color w:val="FFFFFF"/>
      <w:sz w:val="18"/>
      <w:szCs w:val="18"/>
      <w:lang w:eastAsia="hr-HR"/>
    </w:rPr>
  </w:style>
  <w:style w:type="paragraph" w:customStyle="1" w:styleId="xl72">
    <w:name w:val="xl72"/>
    <w:basedOn w:val="Normal"/>
    <w:rsid w:val="001F2C43"/>
    <w:pPr>
      <w:shd w:val="clear" w:color="000000" w:fill="3C3C9E"/>
      <w:spacing w:before="100" w:beforeAutospacing="1" w:after="100" w:afterAutospacing="1"/>
    </w:pPr>
    <w:rPr>
      <w:rFonts w:ascii="Arial" w:hAnsi="Arial" w:cs="Arial"/>
      <w:b/>
      <w:bCs/>
      <w:color w:val="FFFFFF"/>
      <w:sz w:val="18"/>
      <w:szCs w:val="18"/>
      <w:lang w:eastAsia="hr-HR"/>
    </w:rPr>
  </w:style>
  <w:style w:type="paragraph" w:customStyle="1" w:styleId="xl73">
    <w:name w:val="xl73"/>
    <w:basedOn w:val="Normal"/>
    <w:rsid w:val="001F2C43"/>
    <w:pPr>
      <w:shd w:val="clear" w:color="000000" w:fill="3C3C9E"/>
      <w:spacing w:before="100" w:beforeAutospacing="1" w:after="100" w:afterAutospacing="1"/>
    </w:pPr>
    <w:rPr>
      <w:rFonts w:ascii="Arial" w:hAnsi="Arial" w:cs="Arial"/>
      <w:b/>
      <w:bCs/>
      <w:color w:val="FFFFFF"/>
      <w:sz w:val="18"/>
      <w:szCs w:val="18"/>
      <w:lang w:eastAsia="hr-HR"/>
    </w:rPr>
  </w:style>
  <w:style w:type="paragraph" w:customStyle="1" w:styleId="xl74">
    <w:name w:val="xl74"/>
    <w:basedOn w:val="Normal"/>
    <w:rsid w:val="001F2C43"/>
    <w:pPr>
      <w:shd w:val="clear" w:color="000000" w:fill="5050A8"/>
      <w:spacing w:before="100" w:beforeAutospacing="1" w:after="100" w:afterAutospacing="1"/>
    </w:pPr>
    <w:rPr>
      <w:rFonts w:ascii="Arial" w:hAnsi="Arial" w:cs="Arial"/>
      <w:b/>
      <w:bCs/>
      <w:color w:val="FFFFFF"/>
      <w:sz w:val="18"/>
      <w:szCs w:val="18"/>
      <w:lang w:eastAsia="hr-HR"/>
    </w:rPr>
  </w:style>
  <w:style w:type="paragraph" w:customStyle="1" w:styleId="xl75">
    <w:name w:val="xl75"/>
    <w:basedOn w:val="Normal"/>
    <w:rsid w:val="001F2C43"/>
    <w:pPr>
      <w:shd w:val="clear" w:color="000000" w:fill="5050A8"/>
      <w:spacing w:before="100" w:beforeAutospacing="1" w:after="100" w:afterAutospacing="1"/>
    </w:pPr>
    <w:rPr>
      <w:rFonts w:ascii="Arial" w:hAnsi="Arial" w:cs="Arial"/>
      <w:b/>
      <w:bCs/>
      <w:color w:val="FFFFFF"/>
      <w:sz w:val="18"/>
      <w:szCs w:val="18"/>
      <w:lang w:eastAsia="hr-HR"/>
    </w:rPr>
  </w:style>
  <w:style w:type="paragraph" w:customStyle="1" w:styleId="xl76">
    <w:name w:val="xl76"/>
    <w:basedOn w:val="Normal"/>
    <w:rsid w:val="001F2C43"/>
    <w:pPr>
      <w:shd w:val="clear" w:color="000000" w:fill="6464B2"/>
      <w:spacing w:before="100" w:beforeAutospacing="1" w:after="100" w:afterAutospacing="1"/>
    </w:pPr>
    <w:rPr>
      <w:rFonts w:ascii="Arial" w:hAnsi="Arial" w:cs="Arial"/>
      <w:b/>
      <w:bCs/>
      <w:color w:val="FFFFFF"/>
      <w:sz w:val="18"/>
      <w:szCs w:val="18"/>
      <w:lang w:eastAsia="hr-HR"/>
    </w:rPr>
  </w:style>
  <w:style w:type="paragraph" w:customStyle="1" w:styleId="xl77">
    <w:name w:val="xl77"/>
    <w:basedOn w:val="Normal"/>
    <w:rsid w:val="001F2C43"/>
    <w:pPr>
      <w:shd w:val="clear" w:color="000000" w:fill="6464B2"/>
      <w:spacing w:before="100" w:beforeAutospacing="1" w:after="100" w:afterAutospacing="1"/>
    </w:pPr>
    <w:rPr>
      <w:rFonts w:ascii="Arial" w:hAnsi="Arial" w:cs="Arial"/>
      <w:b/>
      <w:bCs/>
      <w:color w:val="FFFFFF"/>
      <w:sz w:val="18"/>
      <w:szCs w:val="18"/>
      <w:lang w:eastAsia="hr-HR"/>
    </w:rPr>
  </w:style>
  <w:style w:type="paragraph" w:customStyle="1" w:styleId="xl78">
    <w:name w:val="xl78"/>
    <w:basedOn w:val="Normal"/>
    <w:rsid w:val="001F2C43"/>
    <w:pPr>
      <w:spacing w:before="100" w:beforeAutospacing="1" w:after="100" w:afterAutospacing="1"/>
    </w:pPr>
    <w:rPr>
      <w:rFonts w:ascii="Arial" w:hAnsi="Arial" w:cs="Arial"/>
      <w:b/>
      <w:bCs/>
      <w:sz w:val="18"/>
      <w:szCs w:val="18"/>
      <w:lang w:eastAsia="hr-HR"/>
    </w:rPr>
  </w:style>
  <w:style w:type="paragraph" w:customStyle="1" w:styleId="xl79">
    <w:name w:val="xl79"/>
    <w:basedOn w:val="Normal"/>
    <w:rsid w:val="001F2C43"/>
    <w:pPr>
      <w:spacing w:before="100" w:beforeAutospacing="1" w:after="100" w:afterAutospacing="1"/>
    </w:pPr>
    <w:rPr>
      <w:rFonts w:ascii="Arial" w:hAnsi="Arial" w:cs="Arial"/>
      <w:b/>
      <w:bCs/>
      <w:sz w:val="18"/>
      <w:szCs w:val="18"/>
      <w:lang w:eastAsia="hr-HR"/>
    </w:rPr>
  </w:style>
  <w:style w:type="paragraph" w:customStyle="1" w:styleId="xl80">
    <w:name w:val="xl80"/>
    <w:basedOn w:val="Normal"/>
    <w:rsid w:val="001F2C43"/>
    <w:pPr>
      <w:spacing w:before="100" w:beforeAutospacing="1" w:after="100" w:afterAutospacing="1"/>
    </w:pPr>
    <w:rPr>
      <w:rFonts w:ascii="Arial" w:hAnsi="Arial" w:cs="Arial"/>
      <w:b/>
      <w:bCs/>
      <w:sz w:val="18"/>
      <w:szCs w:val="18"/>
      <w:lang w:eastAsia="hr-HR"/>
    </w:rPr>
  </w:style>
  <w:style w:type="paragraph" w:customStyle="1" w:styleId="xl81">
    <w:name w:val="xl81"/>
    <w:basedOn w:val="Normal"/>
    <w:rsid w:val="001F2C43"/>
    <w:pPr>
      <w:spacing w:before="100" w:beforeAutospacing="1" w:after="100" w:afterAutospacing="1"/>
    </w:pPr>
    <w:rPr>
      <w:rFonts w:ascii="Arial" w:hAnsi="Arial" w:cs="Arial"/>
      <w:sz w:val="18"/>
      <w:szCs w:val="18"/>
      <w:lang w:eastAsia="hr-HR"/>
    </w:rPr>
  </w:style>
  <w:style w:type="paragraph" w:customStyle="1" w:styleId="xl82">
    <w:name w:val="xl82"/>
    <w:basedOn w:val="Normal"/>
    <w:rsid w:val="001F2C43"/>
    <w:pPr>
      <w:spacing w:before="100" w:beforeAutospacing="1" w:after="100" w:afterAutospacing="1"/>
    </w:pPr>
    <w:rPr>
      <w:rFonts w:ascii="Arial" w:hAnsi="Arial" w:cs="Arial"/>
      <w:sz w:val="18"/>
      <w:szCs w:val="18"/>
      <w:lang w:eastAsia="hr-HR"/>
    </w:rPr>
  </w:style>
  <w:style w:type="paragraph" w:customStyle="1" w:styleId="xl83">
    <w:name w:val="xl83"/>
    <w:basedOn w:val="Normal"/>
    <w:rsid w:val="001F2C43"/>
    <w:pPr>
      <w:spacing w:before="100" w:beforeAutospacing="1" w:after="100" w:afterAutospacing="1"/>
    </w:pPr>
    <w:rPr>
      <w:rFonts w:ascii="Arial" w:hAnsi="Arial" w:cs="Arial"/>
      <w:sz w:val="18"/>
      <w:szCs w:val="18"/>
      <w:lang w:eastAsia="hr-HR"/>
    </w:rPr>
  </w:style>
  <w:style w:type="paragraph" w:customStyle="1" w:styleId="xl84">
    <w:name w:val="xl84"/>
    <w:basedOn w:val="Normal"/>
    <w:rsid w:val="001F2C43"/>
    <w:pPr>
      <w:shd w:val="clear" w:color="000000" w:fill="14148A"/>
      <w:spacing w:before="100" w:beforeAutospacing="1" w:after="100" w:afterAutospacing="1"/>
    </w:pPr>
    <w:rPr>
      <w:rFonts w:ascii="Arial" w:hAnsi="Arial" w:cs="Arial"/>
      <w:b/>
      <w:bCs/>
      <w:color w:val="FFFFFF"/>
      <w:sz w:val="18"/>
      <w:szCs w:val="18"/>
      <w:lang w:eastAsia="hr-HR"/>
    </w:rPr>
  </w:style>
  <w:style w:type="paragraph" w:customStyle="1" w:styleId="xl85">
    <w:name w:val="xl85"/>
    <w:basedOn w:val="Normal"/>
    <w:rsid w:val="001F2C43"/>
    <w:pPr>
      <w:shd w:val="clear" w:color="000000" w:fill="14148A"/>
      <w:spacing w:before="100" w:beforeAutospacing="1" w:after="100" w:afterAutospacing="1"/>
    </w:pPr>
    <w:rPr>
      <w:rFonts w:ascii="Arial" w:hAnsi="Arial" w:cs="Arial"/>
      <w:b/>
      <w:bCs/>
      <w:color w:val="FFFFFF"/>
      <w:sz w:val="18"/>
      <w:szCs w:val="18"/>
      <w:lang w:eastAsia="hr-HR"/>
    </w:rPr>
  </w:style>
  <w:style w:type="paragraph" w:customStyle="1" w:styleId="xl86">
    <w:name w:val="xl86"/>
    <w:basedOn w:val="Normal"/>
    <w:rsid w:val="001F2C43"/>
    <w:pPr>
      <w:shd w:val="clear" w:color="000000" w:fill="282894"/>
      <w:spacing w:before="100" w:beforeAutospacing="1" w:after="100" w:afterAutospacing="1"/>
    </w:pPr>
    <w:rPr>
      <w:rFonts w:ascii="Arial" w:hAnsi="Arial" w:cs="Arial"/>
      <w:b/>
      <w:bCs/>
      <w:color w:val="FFFFFF"/>
      <w:sz w:val="18"/>
      <w:szCs w:val="18"/>
      <w:lang w:eastAsia="hr-HR"/>
    </w:rPr>
  </w:style>
  <w:style w:type="paragraph" w:customStyle="1" w:styleId="xl87">
    <w:name w:val="xl87"/>
    <w:basedOn w:val="Normal"/>
    <w:rsid w:val="001F2C43"/>
    <w:pPr>
      <w:shd w:val="clear" w:color="000000" w:fill="282894"/>
      <w:spacing w:before="100" w:beforeAutospacing="1" w:after="100" w:afterAutospacing="1"/>
    </w:pPr>
    <w:rPr>
      <w:rFonts w:ascii="Arial" w:hAnsi="Arial" w:cs="Arial"/>
      <w:b/>
      <w:bCs/>
      <w:color w:val="FFFFFF"/>
      <w:sz w:val="18"/>
      <w:szCs w:val="18"/>
      <w:lang w:eastAsia="hr-HR"/>
    </w:rPr>
  </w:style>
  <w:style w:type="paragraph" w:customStyle="1" w:styleId="Pa4">
    <w:name w:val="Pa4"/>
    <w:basedOn w:val="Default"/>
    <w:next w:val="Default"/>
    <w:uiPriority w:val="99"/>
    <w:rsid w:val="00383B1D"/>
    <w:pPr>
      <w:spacing w:line="201" w:lineRule="atLeast"/>
    </w:pPr>
    <w:rPr>
      <w:rFonts w:ascii="Georgia" w:hAnsi="Georgia" w:cs="Times New Roman"/>
      <w:color w:val="auto"/>
    </w:rPr>
  </w:style>
  <w:style w:type="paragraph" w:customStyle="1" w:styleId="western">
    <w:name w:val="western"/>
    <w:basedOn w:val="Normal"/>
    <w:rsid w:val="000B7EED"/>
    <w:pPr>
      <w:spacing w:before="13" w:after="13" w:line="312" w:lineRule="auto"/>
    </w:pPr>
    <w:rPr>
      <w:rFonts w:ascii="Verdana" w:hAnsi="Verdana"/>
      <w:color w:val="000000"/>
      <w:sz w:val="14"/>
      <w:szCs w:val="14"/>
      <w:lang w:eastAsia="hr-HR"/>
    </w:rPr>
  </w:style>
  <w:style w:type="paragraph" w:customStyle="1" w:styleId="Tijeloteksta21">
    <w:name w:val="Tijelo teksta 21"/>
    <w:basedOn w:val="Normal"/>
    <w:rsid w:val="00342D26"/>
    <w:pPr>
      <w:suppressAutoHyphens/>
      <w:jc w:val="center"/>
    </w:pPr>
    <w:rPr>
      <w:lang w:eastAsia="ar-SA"/>
    </w:rPr>
  </w:style>
  <w:style w:type="table" w:customStyle="1" w:styleId="Reetkatablice1">
    <w:name w:val="Rešetka tablice1"/>
    <w:basedOn w:val="Obinatablica"/>
    <w:next w:val="Reetkatablice"/>
    <w:uiPriority w:val="59"/>
    <w:rsid w:val="00503FD3"/>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D149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1B0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1B0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BD5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BD5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BD5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C023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AF0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982A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462DB8"/>
  </w:style>
  <w:style w:type="table" w:customStyle="1" w:styleId="Reetkatablice11">
    <w:name w:val="Rešetka tablice11"/>
    <w:basedOn w:val="Obinatablica"/>
    <w:next w:val="Reetkatablice"/>
    <w:uiPriority w:val="59"/>
    <w:rsid w:val="00D51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DE65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nak0">
    <w:name w:val="Clanak"/>
    <w:next w:val="T-98-2"/>
    <w:rsid w:val="00DE655C"/>
    <w:pPr>
      <w:widowControl w:val="0"/>
      <w:autoSpaceDE w:val="0"/>
      <w:autoSpaceDN w:val="0"/>
      <w:adjustRightInd w:val="0"/>
      <w:spacing w:before="86" w:after="43"/>
      <w:jc w:val="center"/>
    </w:pPr>
    <w:rPr>
      <w:rFonts w:ascii="Times-NewRoman" w:hAnsi="Times-NewRoman"/>
      <w:sz w:val="19"/>
      <w:szCs w:val="19"/>
      <w:lang w:val="en-US"/>
    </w:rPr>
  </w:style>
  <w:style w:type="character" w:customStyle="1" w:styleId="titleblue1">
    <w:name w:val="titleblue1"/>
    <w:rsid w:val="00DE655C"/>
    <w:rPr>
      <w:rFonts w:ascii="Arial" w:hAnsi="Arial" w:cs="Arial" w:hint="default"/>
      <w:b/>
      <w:bCs/>
      <w:color w:val="6993CD"/>
      <w:sz w:val="17"/>
      <w:szCs w:val="17"/>
    </w:rPr>
  </w:style>
  <w:style w:type="paragraph" w:customStyle="1" w:styleId="Text1">
    <w:name w:val="Text 1"/>
    <w:basedOn w:val="Normal"/>
    <w:link w:val="Text1Char"/>
    <w:rsid w:val="00DE655C"/>
    <w:pPr>
      <w:spacing w:after="240"/>
      <w:ind w:left="482"/>
      <w:jc w:val="both"/>
    </w:pPr>
    <w:rPr>
      <w:rFonts w:ascii="Palatino Linotype" w:hAnsi="Palatino Linotype"/>
      <w:lang w:val="en-GB" w:eastAsia="x-none"/>
    </w:rPr>
  </w:style>
  <w:style w:type="character" w:customStyle="1" w:styleId="Text1Char">
    <w:name w:val="Text 1 Char"/>
    <w:link w:val="Text1"/>
    <w:rsid w:val="00DE655C"/>
    <w:rPr>
      <w:rFonts w:ascii="Palatino Linotype" w:hAnsi="Palatino Linotype"/>
      <w:sz w:val="24"/>
      <w:szCs w:val="24"/>
      <w:lang w:val="en-GB"/>
    </w:rPr>
  </w:style>
  <w:style w:type="character" w:customStyle="1" w:styleId="marionovi">
    <w:name w:val="mario novi"/>
    <w:semiHidden/>
    <w:rsid w:val="00DE655C"/>
    <w:rPr>
      <w:rFonts w:ascii="Arial" w:hAnsi="Arial" w:cs="Arial"/>
      <w:color w:val="000080"/>
      <w:sz w:val="20"/>
      <w:szCs w:val="20"/>
    </w:rPr>
  </w:style>
  <w:style w:type="paragraph" w:customStyle="1" w:styleId="Odlomakpopisa3">
    <w:name w:val="Odlomak popisa3"/>
    <w:basedOn w:val="Normal"/>
    <w:qFormat/>
    <w:rsid w:val="00DE655C"/>
    <w:pPr>
      <w:ind w:left="720"/>
      <w:contextualSpacing/>
    </w:pPr>
    <w:rPr>
      <w:rFonts w:ascii="Arial" w:hAnsi="Arial" w:cs="Arial"/>
      <w:sz w:val="22"/>
      <w:szCs w:val="22"/>
    </w:rPr>
  </w:style>
  <w:style w:type="table" w:customStyle="1" w:styleId="Reetkatablice13">
    <w:name w:val="Rešetka tablice13"/>
    <w:basedOn w:val="Obinatablica"/>
    <w:next w:val="Reetkatablice"/>
    <w:uiPriority w:val="59"/>
    <w:rsid w:val="00D626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3">
    <w:name w:val="Bez proreda3"/>
    <w:uiPriority w:val="99"/>
    <w:qFormat/>
    <w:rsid w:val="009304E5"/>
    <w:rPr>
      <w:rFonts w:ascii="Calibri" w:eastAsia="Calibri" w:hAnsi="Calibri" w:cs="Calibri"/>
      <w:sz w:val="22"/>
      <w:szCs w:val="22"/>
      <w:lang w:eastAsia="en-US"/>
    </w:rPr>
  </w:style>
  <w:style w:type="character" w:styleId="Tekstrezerviranogmjesta">
    <w:name w:val="Placeholder Text"/>
    <w:uiPriority w:val="99"/>
    <w:semiHidden/>
    <w:rsid w:val="007C04A7"/>
    <w:rPr>
      <w:color w:val="808080"/>
    </w:rPr>
  </w:style>
  <w:style w:type="character" w:customStyle="1" w:styleId="WW8Num3z0">
    <w:name w:val="WW8Num3z0"/>
    <w:qFormat/>
    <w:rsid w:val="0023317D"/>
    <w:rPr>
      <w:rFonts w:ascii="Symbol" w:hAnsi="Symbol" w:cs="Symbol"/>
      <w:b w:val="0"/>
      <w:i w:val="0"/>
      <w:color w:val="000000"/>
      <w:sz w:val="22"/>
      <w:lang w:val="en-US" w:eastAsia="en-US"/>
    </w:rPr>
  </w:style>
  <w:style w:type="character" w:customStyle="1" w:styleId="WW8Num24z2">
    <w:name w:val="WW8Num24z2"/>
    <w:qFormat/>
    <w:rsid w:val="0023317D"/>
    <w:rPr>
      <w:rFonts w:ascii="Wingdings" w:hAnsi="Wingdings" w:cs="Wingdings"/>
    </w:rPr>
  </w:style>
  <w:style w:type="paragraph" w:customStyle="1" w:styleId="Style2">
    <w:name w:val="Style2"/>
    <w:basedOn w:val="Normal"/>
    <w:qFormat/>
    <w:rsid w:val="0023317D"/>
    <w:pPr>
      <w:widowControl w:val="0"/>
      <w:suppressAutoHyphens/>
      <w:spacing w:line="253" w:lineRule="exact"/>
    </w:pPr>
    <w:rPr>
      <w:rFonts w:ascii="Microsoft Sans Serif" w:eastAsia="NSimSun" w:hAnsi="Microsoft Sans Serif" w:cs="Microsoft Sans Serif"/>
      <w:color w:val="00000A"/>
      <w:lang w:eastAsia="zh-CN" w:bidi="hi-IN"/>
    </w:rPr>
  </w:style>
  <w:style w:type="character" w:customStyle="1" w:styleId="NoSpacingChar">
    <w:name w:val="No Spacing Char"/>
    <w:link w:val="NoSpacing1"/>
    <w:uiPriority w:val="99"/>
    <w:rsid w:val="00B74077"/>
    <w:rPr>
      <w:rFonts w:ascii="Calibri" w:hAnsi="Calibri"/>
      <w:sz w:val="22"/>
      <w:szCs w:val="22"/>
    </w:rPr>
  </w:style>
  <w:style w:type="table" w:customStyle="1" w:styleId="Svijetlosjenanje-Isticanje11">
    <w:name w:val="Svijetlo sjenčanje - Isticanje 11"/>
    <w:basedOn w:val="Obinatablica"/>
    <w:uiPriority w:val="60"/>
    <w:rsid w:val="00112065"/>
    <w:rPr>
      <w:rFonts w:asciiTheme="minorHAnsi" w:eastAsiaTheme="minorHAnsi" w:hAnsiTheme="minorHAnsi" w:cstheme="minorBidi"/>
      <w:color w:val="2E74B5" w:themeColor="accent1" w:themeShade="BF"/>
      <w:sz w:val="22"/>
      <w:szCs w:val="22"/>
      <w:lang w:eastAsia="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xl88">
    <w:name w:val="xl88"/>
    <w:basedOn w:val="Normal"/>
    <w:rsid w:val="009F782F"/>
    <w:pPr>
      <w:spacing w:before="100" w:beforeAutospacing="1" w:after="100" w:afterAutospacing="1"/>
      <w:jc w:val="right"/>
    </w:pPr>
    <w:rPr>
      <w:b/>
      <w:bCs/>
      <w:lang w:eastAsia="hr-HR"/>
    </w:rPr>
  </w:style>
  <w:style w:type="paragraph" w:customStyle="1" w:styleId="xl89">
    <w:name w:val="xl89"/>
    <w:basedOn w:val="Normal"/>
    <w:rsid w:val="009F782F"/>
    <w:pPr>
      <w:spacing w:before="100" w:beforeAutospacing="1" w:after="100" w:afterAutospacing="1"/>
      <w:jc w:val="center"/>
    </w:pPr>
    <w:rPr>
      <w:lang w:eastAsia="hr-HR"/>
    </w:rPr>
  </w:style>
  <w:style w:type="paragraph" w:customStyle="1" w:styleId="xl90">
    <w:name w:val="xl90"/>
    <w:basedOn w:val="Normal"/>
    <w:rsid w:val="009F782F"/>
    <w:pPr>
      <w:spacing w:before="100" w:beforeAutospacing="1" w:after="100" w:afterAutospacing="1"/>
      <w:jc w:val="center"/>
    </w:pPr>
    <w:rPr>
      <w:rFonts w:ascii="Arial" w:hAnsi="Arial" w:cs="Arial"/>
      <w:b/>
      <w:bCs/>
      <w:lang w:eastAsia="hr-HR"/>
    </w:rPr>
  </w:style>
  <w:style w:type="paragraph" w:customStyle="1" w:styleId="xl91">
    <w:name w:val="xl91"/>
    <w:basedOn w:val="Normal"/>
    <w:rsid w:val="009F782F"/>
    <w:pPr>
      <w:spacing w:before="100" w:beforeAutospacing="1" w:after="100" w:afterAutospacing="1"/>
    </w:pPr>
    <w:rPr>
      <w:rFonts w:ascii="Arial" w:hAnsi="Arial" w:cs="Arial"/>
      <w:b/>
      <w:bCs/>
      <w:lang w:eastAsia="hr-HR"/>
    </w:rPr>
  </w:style>
  <w:style w:type="character" w:customStyle="1" w:styleId="Jakonaglaeno">
    <w:name w:val="Jako naglašeno"/>
    <w:qFormat/>
    <w:rsid w:val="00526FFA"/>
    <w:rPr>
      <w:b/>
      <w:bCs/>
    </w:rPr>
  </w:style>
  <w:style w:type="character" w:customStyle="1" w:styleId="fontstyle11">
    <w:name w:val="fontstyle11"/>
    <w:qFormat/>
    <w:rsid w:val="00526FFA"/>
    <w:rPr>
      <w:rFonts w:ascii="Arial" w:hAnsi="Arial" w:cs="Arial"/>
      <w:b w:val="0"/>
      <w:bCs w:val="0"/>
      <w:i w:val="0"/>
      <w:iCs w:val="0"/>
      <w:color w:val="000000"/>
      <w:sz w:val="20"/>
      <w:szCs w:val="20"/>
    </w:rPr>
  </w:style>
  <w:style w:type="paragraph" w:customStyle="1" w:styleId="Tijeloteksta-uvlaka21">
    <w:name w:val="Tijelo teksta - uvlaka 21"/>
    <w:basedOn w:val="Normal"/>
    <w:rsid w:val="00526FFA"/>
    <w:pPr>
      <w:tabs>
        <w:tab w:val="left" w:pos="-1701"/>
      </w:tabs>
      <w:suppressAutoHyphens/>
      <w:ind w:left="284"/>
      <w:jc w:val="both"/>
    </w:pPr>
    <w:rPr>
      <w:rFonts w:ascii="Arial" w:hAnsi="Arial" w:cs="Arial"/>
      <w:bCs/>
      <w:lang w:eastAsia="zh-CN"/>
    </w:rPr>
  </w:style>
  <w:style w:type="paragraph" w:customStyle="1" w:styleId="Tijeloteksta-uvlaka31">
    <w:name w:val="Tijelo teksta - uvlaka 31"/>
    <w:basedOn w:val="Normal"/>
    <w:rsid w:val="00526FFA"/>
    <w:pPr>
      <w:suppressAutoHyphens/>
      <w:autoSpaceDE w:val="0"/>
      <w:ind w:left="284"/>
      <w:jc w:val="both"/>
    </w:pPr>
    <w:rPr>
      <w:rFonts w:ascii="Arial" w:hAnsi="Arial" w:cs="Arial"/>
      <w:bCs/>
      <w:color w:val="000000"/>
      <w:lang w:eastAsia="zh-CN"/>
    </w:rPr>
  </w:style>
  <w:style w:type="paragraph" w:customStyle="1" w:styleId="Tijeloteksta22">
    <w:name w:val="Tijelo teksta 22"/>
    <w:basedOn w:val="Normal"/>
    <w:rsid w:val="00526FFA"/>
    <w:pPr>
      <w:suppressAutoHyphens/>
      <w:ind w:right="-1"/>
      <w:jc w:val="both"/>
    </w:pPr>
    <w:rPr>
      <w:rFonts w:ascii="Arial" w:hAnsi="Arial" w:cs="Arial"/>
      <w:bCs/>
      <w:szCs w:val="20"/>
      <w:lang w:eastAsia="zh-CN"/>
    </w:rPr>
  </w:style>
  <w:style w:type="paragraph" w:customStyle="1" w:styleId="Obinitekst1">
    <w:name w:val="Obični tekst1"/>
    <w:basedOn w:val="Normal"/>
    <w:rsid w:val="00526FFA"/>
    <w:pPr>
      <w:suppressAutoHyphens/>
    </w:pPr>
    <w:rPr>
      <w:rFonts w:ascii="Courier New" w:hAnsi="Courier New" w:cs="Courier New"/>
      <w:sz w:val="20"/>
      <w:szCs w:val="20"/>
      <w:lang w:eastAsia="zh-CN"/>
    </w:rPr>
  </w:style>
  <w:style w:type="paragraph" w:customStyle="1" w:styleId="StandardWeb1">
    <w:name w:val="Standard (Web)1"/>
    <w:basedOn w:val="Normal"/>
    <w:rsid w:val="00526FFA"/>
    <w:pPr>
      <w:suppressAutoHyphens/>
      <w:spacing w:before="280" w:after="280"/>
    </w:pPr>
    <w:rPr>
      <w:rFonts w:ascii="Arial Unicode MS" w:eastAsia="Arial Unicode MS" w:hAnsi="Arial Unicode MS" w:cs="Arial Unicode M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333">
      <w:bodyDiv w:val="1"/>
      <w:marLeft w:val="0"/>
      <w:marRight w:val="0"/>
      <w:marTop w:val="0"/>
      <w:marBottom w:val="0"/>
      <w:divBdr>
        <w:top w:val="none" w:sz="0" w:space="0" w:color="auto"/>
        <w:left w:val="none" w:sz="0" w:space="0" w:color="auto"/>
        <w:bottom w:val="none" w:sz="0" w:space="0" w:color="auto"/>
        <w:right w:val="none" w:sz="0" w:space="0" w:color="auto"/>
      </w:divBdr>
    </w:div>
    <w:div w:id="40446106">
      <w:bodyDiv w:val="1"/>
      <w:marLeft w:val="0"/>
      <w:marRight w:val="0"/>
      <w:marTop w:val="0"/>
      <w:marBottom w:val="0"/>
      <w:divBdr>
        <w:top w:val="none" w:sz="0" w:space="0" w:color="auto"/>
        <w:left w:val="none" w:sz="0" w:space="0" w:color="auto"/>
        <w:bottom w:val="none" w:sz="0" w:space="0" w:color="auto"/>
        <w:right w:val="none" w:sz="0" w:space="0" w:color="auto"/>
      </w:divBdr>
    </w:div>
    <w:div w:id="43918105">
      <w:bodyDiv w:val="1"/>
      <w:marLeft w:val="0"/>
      <w:marRight w:val="0"/>
      <w:marTop w:val="0"/>
      <w:marBottom w:val="0"/>
      <w:divBdr>
        <w:top w:val="none" w:sz="0" w:space="0" w:color="auto"/>
        <w:left w:val="none" w:sz="0" w:space="0" w:color="auto"/>
        <w:bottom w:val="none" w:sz="0" w:space="0" w:color="auto"/>
        <w:right w:val="none" w:sz="0" w:space="0" w:color="auto"/>
      </w:divBdr>
    </w:div>
    <w:div w:id="44447939">
      <w:bodyDiv w:val="1"/>
      <w:marLeft w:val="0"/>
      <w:marRight w:val="0"/>
      <w:marTop w:val="0"/>
      <w:marBottom w:val="0"/>
      <w:divBdr>
        <w:top w:val="none" w:sz="0" w:space="0" w:color="auto"/>
        <w:left w:val="none" w:sz="0" w:space="0" w:color="auto"/>
        <w:bottom w:val="none" w:sz="0" w:space="0" w:color="auto"/>
        <w:right w:val="none" w:sz="0" w:space="0" w:color="auto"/>
      </w:divBdr>
    </w:div>
    <w:div w:id="48001730">
      <w:bodyDiv w:val="1"/>
      <w:marLeft w:val="0"/>
      <w:marRight w:val="0"/>
      <w:marTop w:val="0"/>
      <w:marBottom w:val="0"/>
      <w:divBdr>
        <w:top w:val="none" w:sz="0" w:space="0" w:color="auto"/>
        <w:left w:val="none" w:sz="0" w:space="0" w:color="auto"/>
        <w:bottom w:val="none" w:sz="0" w:space="0" w:color="auto"/>
        <w:right w:val="none" w:sz="0" w:space="0" w:color="auto"/>
      </w:divBdr>
    </w:div>
    <w:div w:id="51320140">
      <w:bodyDiv w:val="1"/>
      <w:marLeft w:val="0"/>
      <w:marRight w:val="0"/>
      <w:marTop w:val="0"/>
      <w:marBottom w:val="0"/>
      <w:divBdr>
        <w:top w:val="none" w:sz="0" w:space="0" w:color="auto"/>
        <w:left w:val="none" w:sz="0" w:space="0" w:color="auto"/>
        <w:bottom w:val="none" w:sz="0" w:space="0" w:color="auto"/>
        <w:right w:val="none" w:sz="0" w:space="0" w:color="auto"/>
      </w:divBdr>
    </w:div>
    <w:div w:id="59717583">
      <w:bodyDiv w:val="1"/>
      <w:marLeft w:val="0"/>
      <w:marRight w:val="0"/>
      <w:marTop w:val="0"/>
      <w:marBottom w:val="0"/>
      <w:divBdr>
        <w:top w:val="none" w:sz="0" w:space="0" w:color="auto"/>
        <w:left w:val="none" w:sz="0" w:space="0" w:color="auto"/>
        <w:bottom w:val="none" w:sz="0" w:space="0" w:color="auto"/>
        <w:right w:val="none" w:sz="0" w:space="0" w:color="auto"/>
      </w:divBdr>
    </w:div>
    <w:div w:id="61757686">
      <w:bodyDiv w:val="1"/>
      <w:marLeft w:val="0"/>
      <w:marRight w:val="0"/>
      <w:marTop w:val="0"/>
      <w:marBottom w:val="0"/>
      <w:divBdr>
        <w:top w:val="none" w:sz="0" w:space="0" w:color="auto"/>
        <w:left w:val="none" w:sz="0" w:space="0" w:color="auto"/>
        <w:bottom w:val="none" w:sz="0" w:space="0" w:color="auto"/>
        <w:right w:val="none" w:sz="0" w:space="0" w:color="auto"/>
      </w:divBdr>
    </w:div>
    <w:div w:id="62458297">
      <w:bodyDiv w:val="1"/>
      <w:marLeft w:val="0"/>
      <w:marRight w:val="0"/>
      <w:marTop w:val="0"/>
      <w:marBottom w:val="0"/>
      <w:divBdr>
        <w:top w:val="none" w:sz="0" w:space="0" w:color="auto"/>
        <w:left w:val="none" w:sz="0" w:space="0" w:color="auto"/>
        <w:bottom w:val="none" w:sz="0" w:space="0" w:color="auto"/>
        <w:right w:val="none" w:sz="0" w:space="0" w:color="auto"/>
      </w:divBdr>
    </w:div>
    <w:div w:id="73864168">
      <w:bodyDiv w:val="1"/>
      <w:marLeft w:val="0"/>
      <w:marRight w:val="0"/>
      <w:marTop w:val="0"/>
      <w:marBottom w:val="0"/>
      <w:divBdr>
        <w:top w:val="none" w:sz="0" w:space="0" w:color="auto"/>
        <w:left w:val="none" w:sz="0" w:space="0" w:color="auto"/>
        <w:bottom w:val="none" w:sz="0" w:space="0" w:color="auto"/>
        <w:right w:val="none" w:sz="0" w:space="0" w:color="auto"/>
      </w:divBdr>
    </w:div>
    <w:div w:id="76950958">
      <w:bodyDiv w:val="1"/>
      <w:marLeft w:val="0"/>
      <w:marRight w:val="0"/>
      <w:marTop w:val="0"/>
      <w:marBottom w:val="0"/>
      <w:divBdr>
        <w:top w:val="none" w:sz="0" w:space="0" w:color="auto"/>
        <w:left w:val="none" w:sz="0" w:space="0" w:color="auto"/>
        <w:bottom w:val="none" w:sz="0" w:space="0" w:color="auto"/>
        <w:right w:val="none" w:sz="0" w:space="0" w:color="auto"/>
      </w:divBdr>
    </w:div>
    <w:div w:id="84425196">
      <w:bodyDiv w:val="1"/>
      <w:marLeft w:val="0"/>
      <w:marRight w:val="0"/>
      <w:marTop w:val="0"/>
      <w:marBottom w:val="0"/>
      <w:divBdr>
        <w:top w:val="none" w:sz="0" w:space="0" w:color="auto"/>
        <w:left w:val="none" w:sz="0" w:space="0" w:color="auto"/>
        <w:bottom w:val="none" w:sz="0" w:space="0" w:color="auto"/>
        <w:right w:val="none" w:sz="0" w:space="0" w:color="auto"/>
      </w:divBdr>
    </w:div>
    <w:div w:id="84499014">
      <w:bodyDiv w:val="1"/>
      <w:marLeft w:val="0"/>
      <w:marRight w:val="0"/>
      <w:marTop w:val="0"/>
      <w:marBottom w:val="0"/>
      <w:divBdr>
        <w:top w:val="none" w:sz="0" w:space="0" w:color="auto"/>
        <w:left w:val="none" w:sz="0" w:space="0" w:color="auto"/>
        <w:bottom w:val="none" w:sz="0" w:space="0" w:color="auto"/>
        <w:right w:val="none" w:sz="0" w:space="0" w:color="auto"/>
      </w:divBdr>
    </w:div>
    <w:div w:id="93602233">
      <w:bodyDiv w:val="1"/>
      <w:marLeft w:val="0"/>
      <w:marRight w:val="0"/>
      <w:marTop w:val="0"/>
      <w:marBottom w:val="0"/>
      <w:divBdr>
        <w:top w:val="none" w:sz="0" w:space="0" w:color="auto"/>
        <w:left w:val="none" w:sz="0" w:space="0" w:color="auto"/>
        <w:bottom w:val="none" w:sz="0" w:space="0" w:color="auto"/>
        <w:right w:val="none" w:sz="0" w:space="0" w:color="auto"/>
      </w:divBdr>
    </w:div>
    <w:div w:id="97990632">
      <w:bodyDiv w:val="1"/>
      <w:marLeft w:val="0"/>
      <w:marRight w:val="0"/>
      <w:marTop w:val="0"/>
      <w:marBottom w:val="0"/>
      <w:divBdr>
        <w:top w:val="none" w:sz="0" w:space="0" w:color="auto"/>
        <w:left w:val="none" w:sz="0" w:space="0" w:color="auto"/>
        <w:bottom w:val="none" w:sz="0" w:space="0" w:color="auto"/>
        <w:right w:val="none" w:sz="0" w:space="0" w:color="auto"/>
      </w:divBdr>
    </w:div>
    <w:div w:id="98644978">
      <w:bodyDiv w:val="1"/>
      <w:marLeft w:val="0"/>
      <w:marRight w:val="0"/>
      <w:marTop w:val="0"/>
      <w:marBottom w:val="0"/>
      <w:divBdr>
        <w:top w:val="none" w:sz="0" w:space="0" w:color="auto"/>
        <w:left w:val="none" w:sz="0" w:space="0" w:color="auto"/>
        <w:bottom w:val="none" w:sz="0" w:space="0" w:color="auto"/>
        <w:right w:val="none" w:sz="0" w:space="0" w:color="auto"/>
      </w:divBdr>
    </w:div>
    <w:div w:id="100422848">
      <w:bodyDiv w:val="1"/>
      <w:marLeft w:val="0"/>
      <w:marRight w:val="0"/>
      <w:marTop w:val="0"/>
      <w:marBottom w:val="0"/>
      <w:divBdr>
        <w:top w:val="none" w:sz="0" w:space="0" w:color="auto"/>
        <w:left w:val="none" w:sz="0" w:space="0" w:color="auto"/>
        <w:bottom w:val="none" w:sz="0" w:space="0" w:color="auto"/>
        <w:right w:val="none" w:sz="0" w:space="0" w:color="auto"/>
      </w:divBdr>
    </w:div>
    <w:div w:id="111293712">
      <w:bodyDiv w:val="1"/>
      <w:marLeft w:val="0"/>
      <w:marRight w:val="0"/>
      <w:marTop w:val="0"/>
      <w:marBottom w:val="0"/>
      <w:divBdr>
        <w:top w:val="none" w:sz="0" w:space="0" w:color="auto"/>
        <w:left w:val="none" w:sz="0" w:space="0" w:color="auto"/>
        <w:bottom w:val="none" w:sz="0" w:space="0" w:color="auto"/>
        <w:right w:val="none" w:sz="0" w:space="0" w:color="auto"/>
      </w:divBdr>
    </w:div>
    <w:div w:id="127943180">
      <w:bodyDiv w:val="1"/>
      <w:marLeft w:val="0"/>
      <w:marRight w:val="0"/>
      <w:marTop w:val="0"/>
      <w:marBottom w:val="0"/>
      <w:divBdr>
        <w:top w:val="none" w:sz="0" w:space="0" w:color="auto"/>
        <w:left w:val="none" w:sz="0" w:space="0" w:color="auto"/>
        <w:bottom w:val="none" w:sz="0" w:space="0" w:color="auto"/>
        <w:right w:val="none" w:sz="0" w:space="0" w:color="auto"/>
      </w:divBdr>
    </w:div>
    <w:div w:id="132330657">
      <w:bodyDiv w:val="1"/>
      <w:marLeft w:val="0"/>
      <w:marRight w:val="0"/>
      <w:marTop w:val="0"/>
      <w:marBottom w:val="0"/>
      <w:divBdr>
        <w:top w:val="none" w:sz="0" w:space="0" w:color="auto"/>
        <w:left w:val="none" w:sz="0" w:space="0" w:color="auto"/>
        <w:bottom w:val="none" w:sz="0" w:space="0" w:color="auto"/>
        <w:right w:val="none" w:sz="0" w:space="0" w:color="auto"/>
      </w:divBdr>
    </w:div>
    <w:div w:id="144400220">
      <w:bodyDiv w:val="1"/>
      <w:marLeft w:val="0"/>
      <w:marRight w:val="0"/>
      <w:marTop w:val="0"/>
      <w:marBottom w:val="0"/>
      <w:divBdr>
        <w:top w:val="none" w:sz="0" w:space="0" w:color="auto"/>
        <w:left w:val="none" w:sz="0" w:space="0" w:color="auto"/>
        <w:bottom w:val="none" w:sz="0" w:space="0" w:color="auto"/>
        <w:right w:val="none" w:sz="0" w:space="0" w:color="auto"/>
      </w:divBdr>
    </w:div>
    <w:div w:id="152334319">
      <w:bodyDiv w:val="1"/>
      <w:marLeft w:val="0"/>
      <w:marRight w:val="0"/>
      <w:marTop w:val="0"/>
      <w:marBottom w:val="0"/>
      <w:divBdr>
        <w:top w:val="none" w:sz="0" w:space="0" w:color="auto"/>
        <w:left w:val="none" w:sz="0" w:space="0" w:color="auto"/>
        <w:bottom w:val="none" w:sz="0" w:space="0" w:color="auto"/>
        <w:right w:val="none" w:sz="0" w:space="0" w:color="auto"/>
      </w:divBdr>
    </w:div>
    <w:div w:id="158427101">
      <w:bodyDiv w:val="1"/>
      <w:marLeft w:val="0"/>
      <w:marRight w:val="0"/>
      <w:marTop w:val="0"/>
      <w:marBottom w:val="0"/>
      <w:divBdr>
        <w:top w:val="none" w:sz="0" w:space="0" w:color="auto"/>
        <w:left w:val="none" w:sz="0" w:space="0" w:color="auto"/>
        <w:bottom w:val="none" w:sz="0" w:space="0" w:color="auto"/>
        <w:right w:val="none" w:sz="0" w:space="0" w:color="auto"/>
      </w:divBdr>
    </w:div>
    <w:div w:id="159582430">
      <w:bodyDiv w:val="1"/>
      <w:marLeft w:val="0"/>
      <w:marRight w:val="0"/>
      <w:marTop w:val="0"/>
      <w:marBottom w:val="0"/>
      <w:divBdr>
        <w:top w:val="none" w:sz="0" w:space="0" w:color="auto"/>
        <w:left w:val="none" w:sz="0" w:space="0" w:color="auto"/>
        <w:bottom w:val="none" w:sz="0" w:space="0" w:color="auto"/>
        <w:right w:val="none" w:sz="0" w:space="0" w:color="auto"/>
      </w:divBdr>
    </w:div>
    <w:div w:id="160317764">
      <w:bodyDiv w:val="1"/>
      <w:marLeft w:val="0"/>
      <w:marRight w:val="0"/>
      <w:marTop w:val="0"/>
      <w:marBottom w:val="0"/>
      <w:divBdr>
        <w:top w:val="none" w:sz="0" w:space="0" w:color="auto"/>
        <w:left w:val="none" w:sz="0" w:space="0" w:color="auto"/>
        <w:bottom w:val="none" w:sz="0" w:space="0" w:color="auto"/>
        <w:right w:val="none" w:sz="0" w:space="0" w:color="auto"/>
      </w:divBdr>
    </w:div>
    <w:div w:id="161702769">
      <w:bodyDiv w:val="1"/>
      <w:marLeft w:val="0"/>
      <w:marRight w:val="0"/>
      <w:marTop w:val="0"/>
      <w:marBottom w:val="0"/>
      <w:divBdr>
        <w:top w:val="none" w:sz="0" w:space="0" w:color="auto"/>
        <w:left w:val="none" w:sz="0" w:space="0" w:color="auto"/>
        <w:bottom w:val="none" w:sz="0" w:space="0" w:color="auto"/>
        <w:right w:val="none" w:sz="0" w:space="0" w:color="auto"/>
      </w:divBdr>
    </w:div>
    <w:div w:id="162594884">
      <w:bodyDiv w:val="1"/>
      <w:marLeft w:val="0"/>
      <w:marRight w:val="0"/>
      <w:marTop w:val="0"/>
      <w:marBottom w:val="0"/>
      <w:divBdr>
        <w:top w:val="none" w:sz="0" w:space="0" w:color="auto"/>
        <w:left w:val="none" w:sz="0" w:space="0" w:color="auto"/>
        <w:bottom w:val="none" w:sz="0" w:space="0" w:color="auto"/>
        <w:right w:val="none" w:sz="0" w:space="0" w:color="auto"/>
      </w:divBdr>
    </w:div>
    <w:div w:id="166215419">
      <w:bodyDiv w:val="1"/>
      <w:marLeft w:val="0"/>
      <w:marRight w:val="0"/>
      <w:marTop w:val="0"/>
      <w:marBottom w:val="0"/>
      <w:divBdr>
        <w:top w:val="none" w:sz="0" w:space="0" w:color="auto"/>
        <w:left w:val="none" w:sz="0" w:space="0" w:color="auto"/>
        <w:bottom w:val="none" w:sz="0" w:space="0" w:color="auto"/>
        <w:right w:val="none" w:sz="0" w:space="0" w:color="auto"/>
      </w:divBdr>
    </w:div>
    <w:div w:id="169638382">
      <w:bodyDiv w:val="1"/>
      <w:marLeft w:val="0"/>
      <w:marRight w:val="0"/>
      <w:marTop w:val="0"/>
      <w:marBottom w:val="0"/>
      <w:divBdr>
        <w:top w:val="none" w:sz="0" w:space="0" w:color="auto"/>
        <w:left w:val="none" w:sz="0" w:space="0" w:color="auto"/>
        <w:bottom w:val="none" w:sz="0" w:space="0" w:color="auto"/>
        <w:right w:val="none" w:sz="0" w:space="0" w:color="auto"/>
      </w:divBdr>
    </w:div>
    <w:div w:id="189224009">
      <w:bodyDiv w:val="1"/>
      <w:marLeft w:val="0"/>
      <w:marRight w:val="0"/>
      <w:marTop w:val="0"/>
      <w:marBottom w:val="0"/>
      <w:divBdr>
        <w:top w:val="none" w:sz="0" w:space="0" w:color="auto"/>
        <w:left w:val="none" w:sz="0" w:space="0" w:color="auto"/>
        <w:bottom w:val="none" w:sz="0" w:space="0" w:color="auto"/>
        <w:right w:val="none" w:sz="0" w:space="0" w:color="auto"/>
      </w:divBdr>
    </w:div>
    <w:div w:id="189228760">
      <w:bodyDiv w:val="1"/>
      <w:marLeft w:val="0"/>
      <w:marRight w:val="0"/>
      <w:marTop w:val="0"/>
      <w:marBottom w:val="0"/>
      <w:divBdr>
        <w:top w:val="none" w:sz="0" w:space="0" w:color="auto"/>
        <w:left w:val="none" w:sz="0" w:space="0" w:color="auto"/>
        <w:bottom w:val="none" w:sz="0" w:space="0" w:color="auto"/>
        <w:right w:val="none" w:sz="0" w:space="0" w:color="auto"/>
      </w:divBdr>
    </w:div>
    <w:div w:id="190842079">
      <w:bodyDiv w:val="1"/>
      <w:marLeft w:val="0"/>
      <w:marRight w:val="0"/>
      <w:marTop w:val="0"/>
      <w:marBottom w:val="0"/>
      <w:divBdr>
        <w:top w:val="none" w:sz="0" w:space="0" w:color="auto"/>
        <w:left w:val="none" w:sz="0" w:space="0" w:color="auto"/>
        <w:bottom w:val="none" w:sz="0" w:space="0" w:color="auto"/>
        <w:right w:val="none" w:sz="0" w:space="0" w:color="auto"/>
      </w:divBdr>
    </w:div>
    <w:div w:id="193160440">
      <w:bodyDiv w:val="1"/>
      <w:marLeft w:val="0"/>
      <w:marRight w:val="0"/>
      <w:marTop w:val="0"/>
      <w:marBottom w:val="0"/>
      <w:divBdr>
        <w:top w:val="none" w:sz="0" w:space="0" w:color="auto"/>
        <w:left w:val="none" w:sz="0" w:space="0" w:color="auto"/>
        <w:bottom w:val="none" w:sz="0" w:space="0" w:color="auto"/>
        <w:right w:val="none" w:sz="0" w:space="0" w:color="auto"/>
      </w:divBdr>
    </w:div>
    <w:div w:id="195705844">
      <w:bodyDiv w:val="1"/>
      <w:marLeft w:val="0"/>
      <w:marRight w:val="0"/>
      <w:marTop w:val="0"/>
      <w:marBottom w:val="0"/>
      <w:divBdr>
        <w:top w:val="none" w:sz="0" w:space="0" w:color="auto"/>
        <w:left w:val="none" w:sz="0" w:space="0" w:color="auto"/>
        <w:bottom w:val="none" w:sz="0" w:space="0" w:color="auto"/>
        <w:right w:val="none" w:sz="0" w:space="0" w:color="auto"/>
      </w:divBdr>
    </w:div>
    <w:div w:id="199975983">
      <w:bodyDiv w:val="1"/>
      <w:marLeft w:val="0"/>
      <w:marRight w:val="0"/>
      <w:marTop w:val="0"/>
      <w:marBottom w:val="0"/>
      <w:divBdr>
        <w:top w:val="none" w:sz="0" w:space="0" w:color="auto"/>
        <w:left w:val="none" w:sz="0" w:space="0" w:color="auto"/>
        <w:bottom w:val="none" w:sz="0" w:space="0" w:color="auto"/>
        <w:right w:val="none" w:sz="0" w:space="0" w:color="auto"/>
      </w:divBdr>
    </w:div>
    <w:div w:id="200947023">
      <w:bodyDiv w:val="1"/>
      <w:marLeft w:val="0"/>
      <w:marRight w:val="0"/>
      <w:marTop w:val="0"/>
      <w:marBottom w:val="0"/>
      <w:divBdr>
        <w:top w:val="none" w:sz="0" w:space="0" w:color="auto"/>
        <w:left w:val="none" w:sz="0" w:space="0" w:color="auto"/>
        <w:bottom w:val="none" w:sz="0" w:space="0" w:color="auto"/>
        <w:right w:val="none" w:sz="0" w:space="0" w:color="auto"/>
      </w:divBdr>
    </w:div>
    <w:div w:id="206265839">
      <w:bodyDiv w:val="1"/>
      <w:marLeft w:val="0"/>
      <w:marRight w:val="0"/>
      <w:marTop w:val="0"/>
      <w:marBottom w:val="0"/>
      <w:divBdr>
        <w:top w:val="none" w:sz="0" w:space="0" w:color="auto"/>
        <w:left w:val="none" w:sz="0" w:space="0" w:color="auto"/>
        <w:bottom w:val="none" w:sz="0" w:space="0" w:color="auto"/>
        <w:right w:val="none" w:sz="0" w:space="0" w:color="auto"/>
      </w:divBdr>
    </w:div>
    <w:div w:id="212155353">
      <w:bodyDiv w:val="1"/>
      <w:marLeft w:val="0"/>
      <w:marRight w:val="0"/>
      <w:marTop w:val="0"/>
      <w:marBottom w:val="0"/>
      <w:divBdr>
        <w:top w:val="none" w:sz="0" w:space="0" w:color="auto"/>
        <w:left w:val="none" w:sz="0" w:space="0" w:color="auto"/>
        <w:bottom w:val="none" w:sz="0" w:space="0" w:color="auto"/>
        <w:right w:val="none" w:sz="0" w:space="0" w:color="auto"/>
      </w:divBdr>
    </w:div>
    <w:div w:id="212666444">
      <w:bodyDiv w:val="1"/>
      <w:marLeft w:val="0"/>
      <w:marRight w:val="0"/>
      <w:marTop w:val="0"/>
      <w:marBottom w:val="0"/>
      <w:divBdr>
        <w:top w:val="none" w:sz="0" w:space="0" w:color="auto"/>
        <w:left w:val="none" w:sz="0" w:space="0" w:color="auto"/>
        <w:bottom w:val="none" w:sz="0" w:space="0" w:color="auto"/>
        <w:right w:val="none" w:sz="0" w:space="0" w:color="auto"/>
      </w:divBdr>
    </w:div>
    <w:div w:id="217012986">
      <w:bodyDiv w:val="1"/>
      <w:marLeft w:val="0"/>
      <w:marRight w:val="0"/>
      <w:marTop w:val="0"/>
      <w:marBottom w:val="0"/>
      <w:divBdr>
        <w:top w:val="none" w:sz="0" w:space="0" w:color="auto"/>
        <w:left w:val="none" w:sz="0" w:space="0" w:color="auto"/>
        <w:bottom w:val="none" w:sz="0" w:space="0" w:color="auto"/>
        <w:right w:val="none" w:sz="0" w:space="0" w:color="auto"/>
      </w:divBdr>
    </w:div>
    <w:div w:id="219559140">
      <w:bodyDiv w:val="1"/>
      <w:marLeft w:val="0"/>
      <w:marRight w:val="0"/>
      <w:marTop w:val="0"/>
      <w:marBottom w:val="0"/>
      <w:divBdr>
        <w:top w:val="none" w:sz="0" w:space="0" w:color="auto"/>
        <w:left w:val="none" w:sz="0" w:space="0" w:color="auto"/>
        <w:bottom w:val="none" w:sz="0" w:space="0" w:color="auto"/>
        <w:right w:val="none" w:sz="0" w:space="0" w:color="auto"/>
      </w:divBdr>
    </w:div>
    <w:div w:id="225065717">
      <w:bodyDiv w:val="1"/>
      <w:marLeft w:val="0"/>
      <w:marRight w:val="0"/>
      <w:marTop w:val="0"/>
      <w:marBottom w:val="0"/>
      <w:divBdr>
        <w:top w:val="none" w:sz="0" w:space="0" w:color="auto"/>
        <w:left w:val="none" w:sz="0" w:space="0" w:color="auto"/>
        <w:bottom w:val="none" w:sz="0" w:space="0" w:color="auto"/>
        <w:right w:val="none" w:sz="0" w:space="0" w:color="auto"/>
      </w:divBdr>
    </w:div>
    <w:div w:id="229465786">
      <w:bodyDiv w:val="1"/>
      <w:marLeft w:val="0"/>
      <w:marRight w:val="0"/>
      <w:marTop w:val="0"/>
      <w:marBottom w:val="0"/>
      <w:divBdr>
        <w:top w:val="none" w:sz="0" w:space="0" w:color="auto"/>
        <w:left w:val="none" w:sz="0" w:space="0" w:color="auto"/>
        <w:bottom w:val="none" w:sz="0" w:space="0" w:color="auto"/>
        <w:right w:val="none" w:sz="0" w:space="0" w:color="auto"/>
      </w:divBdr>
    </w:div>
    <w:div w:id="238752851">
      <w:bodyDiv w:val="1"/>
      <w:marLeft w:val="0"/>
      <w:marRight w:val="0"/>
      <w:marTop w:val="0"/>
      <w:marBottom w:val="0"/>
      <w:divBdr>
        <w:top w:val="none" w:sz="0" w:space="0" w:color="auto"/>
        <w:left w:val="none" w:sz="0" w:space="0" w:color="auto"/>
        <w:bottom w:val="none" w:sz="0" w:space="0" w:color="auto"/>
        <w:right w:val="none" w:sz="0" w:space="0" w:color="auto"/>
      </w:divBdr>
    </w:div>
    <w:div w:id="248277627">
      <w:bodyDiv w:val="1"/>
      <w:marLeft w:val="0"/>
      <w:marRight w:val="0"/>
      <w:marTop w:val="0"/>
      <w:marBottom w:val="0"/>
      <w:divBdr>
        <w:top w:val="none" w:sz="0" w:space="0" w:color="auto"/>
        <w:left w:val="none" w:sz="0" w:space="0" w:color="auto"/>
        <w:bottom w:val="none" w:sz="0" w:space="0" w:color="auto"/>
        <w:right w:val="none" w:sz="0" w:space="0" w:color="auto"/>
      </w:divBdr>
    </w:div>
    <w:div w:id="251015577">
      <w:bodyDiv w:val="1"/>
      <w:marLeft w:val="0"/>
      <w:marRight w:val="0"/>
      <w:marTop w:val="0"/>
      <w:marBottom w:val="0"/>
      <w:divBdr>
        <w:top w:val="none" w:sz="0" w:space="0" w:color="auto"/>
        <w:left w:val="none" w:sz="0" w:space="0" w:color="auto"/>
        <w:bottom w:val="none" w:sz="0" w:space="0" w:color="auto"/>
        <w:right w:val="none" w:sz="0" w:space="0" w:color="auto"/>
      </w:divBdr>
    </w:div>
    <w:div w:id="263807962">
      <w:bodyDiv w:val="1"/>
      <w:marLeft w:val="0"/>
      <w:marRight w:val="0"/>
      <w:marTop w:val="0"/>
      <w:marBottom w:val="0"/>
      <w:divBdr>
        <w:top w:val="none" w:sz="0" w:space="0" w:color="auto"/>
        <w:left w:val="none" w:sz="0" w:space="0" w:color="auto"/>
        <w:bottom w:val="none" w:sz="0" w:space="0" w:color="auto"/>
        <w:right w:val="none" w:sz="0" w:space="0" w:color="auto"/>
      </w:divBdr>
    </w:div>
    <w:div w:id="267086584">
      <w:bodyDiv w:val="1"/>
      <w:marLeft w:val="0"/>
      <w:marRight w:val="0"/>
      <w:marTop w:val="0"/>
      <w:marBottom w:val="0"/>
      <w:divBdr>
        <w:top w:val="none" w:sz="0" w:space="0" w:color="auto"/>
        <w:left w:val="none" w:sz="0" w:space="0" w:color="auto"/>
        <w:bottom w:val="none" w:sz="0" w:space="0" w:color="auto"/>
        <w:right w:val="none" w:sz="0" w:space="0" w:color="auto"/>
      </w:divBdr>
    </w:div>
    <w:div w:id="277764013">
      <w:bodyDiv w:val="1"/>
      <w:marLeft w:val="0"/>
      <w:marRight w:val="0"/>
      <w:marTop w:val="0"/>
      <w:marBottom w:val="0"/>
      <w:divBdr>
        <w:top w:val="none" w:sz="0" w:space="0" w:color="auto"/>
        <w:left w:val="none" w:sz="0" w:space="0" w:color="auto"/>
        <w:bottom w:val="none" w:sz="0" w:space="0" w:color="auto"/>
        <w:right w:val="none" w:sz="0" w:space="0" w:color="auto"/>
      </w:divBdr>
    </w:div>
    <w:div w:id="284509415">
      <w:bodyDiv w:val="1"/>
      <w:marLeft w:val="0"/>
      <w:marRight w:val="0"/>
      <w:marTop w:val="0"/>
      <w:marBottom w:val="0"/>
      <w:divBdr>
        <w:top w:val="none" w:sz="0" w:space="0" w:color="auto"/>
        <w:left w:val="none" w:sz="0" w:space="0" w:color="auto"/>
        <w:bottom w:val="none" w:sz="0" w:space="0" w:color="auto"/>
        <w:right w:val="none" w:sz="0" w:space="0" w:color="auto"/>
      </w:divBdr>
    </w:div>
    <w:div w:id="288366633">
      <w:bodyDiv w:val="1"/>
      <w:marLeft w:val="0"/>
      <w:marRight w:val="0"/>
      <w:marTop w:val="0"/>
      <w:marBottom w:val="0"/>
      <w:divBdr>
        <w:top w:val="none" w:sz="0" w:space="0" w:color="auto"/>
        <w:left w:val="none" w:sz="0" w:space="0" w:color="auto"/>
        <w:bottom w:val="none" w:sz="0" w:space="0" w:color="auto"/>
        <w:right w:val="none" w:sz="0" w:space="0" w:color="auto"/>
      </w:divBdr>
    </w:div>
    <w:div w:id="291331770">
      <w:bodyDiv w:val="1"/>
      <w:marLeft w:val="0"/>
      <w:marRight w:val="0"/>
      <w:marTop w:val="0"/>
      <w:marBottom w:val="0"/>
      <w:divBdr>
        <w:top w:val="none" w:sz="0" w:space="0" w:color="auto"/>
        <w:left w:val="none" w:sz="0" w:space="0" w:color="auto"/>
        <w:bottom w:val="none" w:sz="0" w:space="0" w:color="auto"/>
        <w:right w:val="none" w:sz="0" w:space="0" w:color="auto"/>
      </w:divBdr>
    </w:div>
    <w:div w:id="310132922">
      <w:bodyDiv w:val="1"/>
      <w:marLeft w:val="0"/>
      <w:marRight w:val="0"/>
      <w:marTop w:val="0"/>
      <w:marBottom w:val="0"/>
      <w:divBdr>
        <w:top w:val="none" w:sz="0" w:space="0" w:color="auto"/>
        <w:left w:val="none" w:sz="0" w:space="0" w:color="auto"/>
        <w:bottom w:val="none" w:sz="0" w:space="0" w:color="auto"/>
        <w:right w:val="none" w:sz="0" w:space="0" w:color="auto"/>
      </w:divBdr>
    </w:div>
    <w:div w:id="313223136">
      <w:bodyDiv w:val="1"/>
      <w:marLeft w:val="0"/>
      <w:marRight w:val="0"/>
      <w:marTop w:val="0"/>
      <w:marBottom w:val="0"/>
      <w:divBdr>
        <w:top w:val="none" w:sz="0" w:space="0" w:color="auto"/>
        <w:left w:val="none" w:sz="0" w:space="0" w:color="auto"/>
        <w:bottom w:val="none" w:sz="0" w:space="0" w:color="auto"/>
        <w:right w:val="none" w:sz="0" w:space="0" w:color="auto"/>
      </w:divBdr>
    </w:div>
    <w:div w:id="314652013">
      <w:bodyDiv w:val="1"/>
      <w:marLeft w:val="0"/>
      <w:marRight w:val="0"/>
      <w:marTop w:val="0"/>
      <w:marBottom w:val="0"/>
      <w:divBdr>
        <w:top w:val="none" w:sz="0" w:space="0" w:color="auto"/>
        <w:left w:val="none" w:sz="0" w:space="0" w:color="auto"/>
        <w:bottom w:val="none" w:sz="0" w:space="0" w:color="auto"/>
        <w:right w:val="none" w:sz="0" w:space="0" w:color="auto"/>
      </w:divBdr>
    </w:div>
    <w:div w:id="316959339">
      <w:bodyDiv w:val="1"/>
      <w:marLeft w:val="0"/>
      <w:marRight w:val="0"/>
      <w:marTop w:val="0"/>
      <w:marBottom w:val="0"/>
      <w:divBdr>
        <w:top w:val="none" w:sz="0" w:space="0" w:color="auto"/>
        <w:left w:val="none" w:sz="0" w:space="0" w:color="auto"/>
        <w:bottom w:val="none" w:sz="0" w:space="0" w:color="auto"/>
        <w:right w:val="none" w:sz="0" w:space="0" w:color="auto"/>
      </w:divBdr>
    </w:div>
    <w:div w:id="317275008">
      <w:bodyDiv w:val="1"/>
      <w:marLeft w:val="0"/>
      <w:marRight w:val="0"/>
      <w:marTop w:val="0"/>
      <w:marBottom w:val="0"/>
      <w:divBdr>
        <w:top w:val="none" w:sz="0" w:space="0" w:color="auto"/>
        <w:left w:val="none" w:sz="0" w:space="0" w:color="auto"/>
        <w:bottom w:val="none" w:sz="0" w:space="0" w:color="auto"/>
        <w:right w:val="none" w:sz="0" w:space="0" w:color="auto"/>
      </w:divBdr>
    </w:div>
    <w:div w:id="323049263">
      <w:bodyDiv w:val="1"/>
      <w:marLeft w:val="0"/>
      <w:marRight w:val="0"/>
      <w:marTop w:val="0"/>
      <w:marBottom w:val="0"/>
      <w:divBdr>
        <w:top w:val="none" w:sz="0" w:space="0" w:color="auto"/>
        <w:left w:val="none" w:sz="0" w:space="0" w:color="auto"/>
        <w:bottom w:val="none" w:sz="0" w:space="0" w:color="auto"/>
        <w:right w:val="none" w:sz="0" w:space="0" w:color="auto"/>
      </w:divBdr>
    </w:div>
    <w:div w:id="328992010">
      <w:bodyDiv w:val="1"/>
      <w:marLeft w:val="0"/>
      <w:marRight w:val="0"/>
      <w:marTop w:val="0"/>
      <w:marBottom w:val="0"/>
      <w:divBdr>
        <w:top w:val="none" w:sz="0" w:space="0" w:color="auto"/>
        <w:left w:val="none" w:sz="0" w:space="0" w:color="auto"/>
        <w:bottom w:val="none" w:sz="0" w:space="0" w:color="auto"/>
        <w:right w:val="none" w:sz="0" w:space="0" w:color="auto"/>
      </w:divBdr>
    </w:div>
    <w:div w:id="333725470">
      <w:bodyDiv w:val="1"/>
      <w:marLeft w:val="0"/>
      <w:marRight w:val="0"/>
      <w:marTop w:val="0"/>
      <w:marBottom w:val="0"/>
      <w:divBdr>
        <w:top w:val="none" w:sz="0" w:space="0" w:color="auto"/>
        <w:left w:val="none" w:sz="0" w:space="0" w:color="auto"/>
        <w:bottom w:val="none" w:sz="0" w:space="0" w:color="auto"/>
        <w:right w:val="none" w:sz="0" w:space="0" w:color="auto"/>
      </w:divBdr>
    </w:div>
    <w:div w:id="334692906">
      <w:bodyDiv w:val="1"/>
      <w:marLeft w:val="0"/>
      <w:marRight w:val="0"/>
      <w:marTop w:val="0"/>
      <w:marBottom w:val="0"/>
      <w:divBdr>
        <w:top w:val="none" w:sz="0" w:space="0" w:color="auto"/>
        <w:left w:val="none" w:sz="0" w:space="0" w:color="auto"/>
        <w:bottom w:val="none" w:sz="0" w:space="0" w:color="auto"/>
        <w:right w:val="none" w:sz="0" w:space="0" w:color="auto"/>
      </w:divBdr>
    </w:div>
    <w:div w:id="338193090">
      <w:bodyDiv w:val="1"/>
      <w:marLeft w:val="0"/>
      <w:marRight w:val="0"/>
      <w:marTop w:val="0"/>
      <w:marBottom w:val="0"/>
      <w:divBdr>
        <w:top w:val="none" w:sz="0" w:space="0" w:color="auto"/>
        <w:left w:val="none" w:sz="0" w:space="0" w:color="auto"/>
        <w:bottom w:val="none" w:sz="0" w:space="0" w:color="auto"/>
        <w:right w:val="none" w:sz="0" w:space="0" w:color="auto"/>
      </w:divBdr>
    </w:div>
    <w:div w:id="339503039">
      <w:bodyDiv w:val="1"/>
      <w:marLeft w:val="0"/>
      <w:marRight w:val="0"/>
      <w:marTop w:val="0"/>
      <w:marBottom w:val="0"/>
      <w:divBdr>
        <w:top w:val="none" w:sz="0" w:space="0" w:color="auto"/>
        <w:left w:val="none" w:sz="0" w:space="0" w:color="auto"/>
        <w:bottom w:val="none" w:sz="0" w:space="0" w:color="auto"/>
        <w:right w:val="none" w:sz="0" w:space="0" w:color="auto"/>
      </w:divBdr>
    </w:div>
    <w:div w:id="344946336">
      <w:bodyDiv w:val="1"/>
      <w:marLeft w:val="0"/>
      <w:marRight w:val="0"/>
      <w:marTop w:val="0"/>
      <w:marBottom w:val="0"/>
      <w:divBdr>
        <w:top w:val="none" w:sz="0" w:space="0" w:color="auto"/>
        <w:left w:val="none" w:sz="0" w:space="0" w:color="auto"/>
        <w:bottom w:val="none" w:sz="0" w:space="0" w:color="auto"/>
        <w:right w:val="none" w:sz="0" w:space="0" w:color="auto"/>
      </w:divBdr>
    </w:div>
    <w:div w:id="345526278">
      <w:bodyDiv w:val="1"/>
      <w:marLeft w:val="0"/>
      <w:marRight w:val="0"/>
      <w:marTop w:val="0"/>
      <w:marBottom w:val="0"/>
      <w:divBdr>
        <w:top w:val="none" w:sz="0" w:space="0" w:color="auto"/>
        <w:left w:val="none" w:sz="0" w:space="0" w:color="auto"/>
        <w:bottom w:val="none" w:sz="0" w:space="0" w:color="auto"/>
        <w:right w:val="none" w:sz="0" w:space="0" w:color="auto"/>
      </w:divBdr>
    </w:div>
    <w:div w:id="354623237">
      <w:bodyDiv w:val="1"/>
      <w:marLeft w:val="0"/>
      <w:marRight w:val="0"/>
      <w:marTop w:val="0"/>
      <w:marBottom w:val="0"/>
      <w:divBdr>
        <w:top w:val="none" w:sz="0" w:space="0" w:color="auto"/>
        <w:left w:val="none" w:sz="0" w:space="0" w:color="auto"/>
        <w:bottom w:val="none" w:sz="0" w:space="0" w:color="auto"/>
        <w:right w:val="none" w:sz="0" w:space="0" w:color="auto"/>
      </w:divBdr>
    </w:div>
    <w:div w:id="360135658">
      <w:bodyDiv w:val="1"/>
      <w:marLeft w:val="0"/>
      <w:marRight w:val="0"/>
      <w:marTop w:val="0"/>
      <w:marBottom w:val="0"/>
      <w:divBdr>
        <w:top w:val="none" w:sz="0" w:space="0" w:color="auto"/>
        <w:left w:val="none" w:sz="0" w:space="0" w:color="auto"/>
        <w:bottom w:val="none" w:sz="0" w:space="0" w:color="auto"/>
        <w:right w:val="none" w:sz="0" w:space="0" w:color="auto"/>
      </w:divBdr>
    </w:div>
    <w:div w:id="364839305">
      <w:bodyDiv w:val="1"/>
      <w:marLeft w:val="0"/>
      <w:marRight w:val="0"/>
      <w:marTop w:val="0"/>
      <w:marBottom w:val="0"/>
      <w:divBdr>
        <w:top w:val="none" w:sz="0" w:space="0" w:color="auto"/>
        <w:left w:val="none" w:sz="0" w:space="0" w:color="auto"/>
        <w:bottom w:val="none" w:sz="0" w:space="0" w:color="auto"/>
        <w:right w:val="none" w:sz="0" w:space="0" w:color="auto"/>
      </w:divBdr>
    </w:div>
    <w:div w:id="365451362">
      <w:bodyDiv w:val="1"/>
      <w:marLeft w:val="0"/>
      <w:marRight w:val="0"/>
      <w:marTop w:val="0"/>
      <w:marBottom w:val="0"/>
      <w:divBdr>
        <w:top w:val="none" w:sz="0" w:space="0" w:color="auto"/>
        <w:left w:val="none" w:sz="0" w:space="0" w:color="auto"/>
        <w:bottom w:val="none" w:sz="0" w:space="0" w:color="auto"/>
        <w:right w:val="none" w:sz="0" w:space="0" w:color="auto"/>
      </w:divBdr>
    </w:div>
    <w:div w:id="368800809">
      <w:bodyDiv w:val="1"/>
      <w:marLeft w:val="0"/>
      <w:marRight w:val="0"/>
      <w:marTop w:val="0"/>
      <w:marBottom w:val="0"/>
      <w:divBdr>
        <w:top w:val="none" w:sz="0" w:space="0" w:color="auto"/>
        <w:left w:val="none" w:sz="0" w:space="0" w:color="auto"/>
        <w:bottom w:val="none" w:sz="0" w:space="0" w:color="auto"/>
        <w:right w:val="none" w:sz="0" w:space="0" w:color="auto"/>
      </w:divBdr>
    </w:div>
    <w:div w:id="384989397">
      <w:bodyDiv w:val="1"/>
      <w:marLeft w:val="0"/>
      <w:marRight w:val="0"/>
      <w:marTop w:val="0"/>
      <w:marBottom w:val="0"/>
      <w:divBdr>
        <w:top w:val="none" w:sz="0" w:space="0" w:color="auto"/>
        <w:left w:val="none" w:sz="0" w:space="0" w:color="auto"/>
        <w:bottom w:val="none" w:sz="0" w:space="0" w:color="auto"/>
        <w:right w:val="none" w:sz="0" w:space="0" w:color="auto"/>
      </w:divBdr>
    </w:div>
    <w:div w:id="386682279">
      <w:bodyDiv w:val="1"/>
      <w:marLeft w:val="0"/>
      <w:marRight w:val="0"/>
      <w:marTop w:val="0"/>
      <w:marBottom w:val="0"/>
      <w:divBdr>
        <w:top w:val="none" w:sz="0" w:space="0" w:color="auto"/>
        <w:left w:val="none" w:sz="0" w:space="0" w:color="auto"/>
        <w:bottom w:val="none" w:sz="0" w:space="0" w:color="auto"/>
        <w:right w:val="none" w:sz="0" w:space="0" w:color="auto"/>
      </w:divBdr>
    </w:div>
    <w:div w:id="388571727">
      <w:bodyDiv w:val="1"/>
      <w:marLeft w:val="0"/>
      <w:marRight w:val="0"/>
      <w:marTop w:val="0"/>
      <w:marBottom w:val="0"/>
      <w:divBdr>
        <w:top w:val="none" w:sz="0" w:space="0" w:color="auto"/>
        <w:left w:val="none" w:sz="0" w:space="0" w:color="auto"/>
        <w:bottom w:val="none" w:sz="0" w:space="0" w:color="auto"/>
        <w:right w:val="none" w:sz="0" w:space="0" w:color="auto"/>
      </w:divBdr>
    </w:div>
    <w:div w:id="395129838">
      <w:bodyDiv w:val="1"/>
      <w:marLeft w:val="0"/>
      <w:marRight w:val="0"/>
      <w:marTop w:val="0"/>
      <w:marBottom w:val="0"/>
      <w:divBdr>
        <w:top w:val="none" w:sz="0" w:space="0" w:color="auto"/>
        <w:left w:val="none" w:sz="0" w:space="0" w:color="auto"/>
        <w:bottom w:val="none" w:sz="0" w:space="0" w:color="auto"/>
        <w:right w:val="none" w:sz="0" w:space="0" w:color="auto"/>
      </w:divBdr>
    </w:div>
    <w:div w:id="395206787">
      <w:bodyDiv w:val="1"/>
      <w:marLeft w:val="0"/>
      <w:marRight w:val="0"/>
      <w:marTop w:val="0"/>
      <w:marBottom w:val="0"/>
      <w:divBdr>
        <w:top w:val="none" w:sz="0" w:space="0" w:color="auto"/>
        <w:left w:val="none" w:sz="0" w:space="0" w:color="auto"/>
        <w:bottom w:val="none" w:sz="0" w:space="0" w:color="auto"/>
        <w:right w:val="none" w:sz="0" w:space="0" w:color="auto"/>
      </w:divBdr>
    </w:div>
    <w:div w:id="426123585">
      <w:bodyDiv w:val="1"/>
      <w:marLeft w:val="0"/>
      <w:marRight w:val="0"/>
      <w:marTop w:val="0"/>
      <w:marBottom w:val="0"/>
      <w:divBdr>
        <w:top w:val="none" w:sz="0" w:space="0" w:color="auto"/>
        <w:left w:val="none" w:sz="0" w:space="0" w:color="auto"/>
        <w:bottom w:val="none" w:sz="0" w:space="0" w:color="auto"/>
        <w:right w:val="none" w:sz="0" w:space="0" w:color="auto"/>
      </w:divBdr>
    </w:div>
    <w:div w:id="430400024">
      <w:bodyDiv w:val="1"/>
      <w:marLeft w:val="0"/>
      <w:marRight w:val="0"/>
      <w:marTop w:val="0"/>
      <w:marBottom w:val="0"/>
      <w:divBdr>
        <w:top w:val="none" w:sz="0" w:space="0" w:color="auto"/>
        <w:left w:val="none" w:sz="0" w:space="0" w:color="auto"/>
        <w:bottom w:val="none" w:sz="0" w:space="0" w:color="auto"/>
        <w:right w:val="none" w:sz="0" w:space="0" w:color="auto"/>
      </w:divBdr>
    </w:div>
    <w:div w:id="434056719">
      <w:bodyDiv w:val="1"/>
      <w:marLeft w:val="0"/>
      <w:marRight w:val="0"/>
      <w:marTop w:val="0"/>
      <w:marBottom w:val="0"/>
      <w:divBdr>
        <w:top w:val="none" w:sz="0" w:space="0" w:color="auto"/>
        <w:left w:val="none" w:sz="0" w:space="0" w:color="auto"/>
        <w:bottom w:val="none" w:sz="0" w:space="0" w:color="auto"/>
        <w:right w:val="none" w:sz="0" w:space="0" w:color="auto"/>
      </w:divBdr>
    </w:div>
    <w:div w:id="441148299">
      <w:bodyDiv w:val="1"/>
      <w:marLeft w:val="0"/>
      <w:marRight w:val="0"/>
      <w:marTop w:val="0"/>
      <w:marBottom w:val="0"/>
      <w:divBdr>
        <w:top w:val="none" w:sz="0" w:space="0" w:color="auto"/>
        <w:left w:val="none" w:sz="0" w:space="0" w:color="auto"/>
        <w:bottom w:val="none" w:sz="0" w:space="0" w:color="auto"/>
        <w:right w:val="none" w:sz="0" w:space="0" w:color="auto"/>
      </w:divBdr>
    </w:div>
    <w:div w:id="443035906">
      <w:bodyDiv w:val="1"/>
      <w:marLeft w:val="0"/>
      <w:marRight w:val="0"/>
      <w:marTop w:val="0"/>
      <w:marBottom w:val="0"/>
      <w:divBdr>
        <w:top w:val="none" w:sz="0" w:space="0" w:color="auto"/>
        <w:left w:val="none" w:sz="0" w:space="0" w:color="auto"/>
        <w:bottom w:val="none" w:sz="0" w:space="0" w:color="auto"/>
        <w:right w:val="none" w:sz="0" w:space="0" w:color="auto"/>
      </w:divBdr>
    </w:div>
    <w:div w:id="443883836">
      <w:bodyDiv w:val="1"/>
      <w:marLeft w:val="0"/>
      <w:marRight w:val="0"/>
      <w:marTop w:val="0"/>
      <w:marBottom w:val="0"/>
      <w:divBdr>
        <w:top w:val="none" w:sz="0" w:space="0" w:color="auto"/>
        <w:left w:val="none" w:sz="0" w:space="0" w:color="auto"/>
        <w:bottom w:val="none" w:sz="0" w:space="0" w:color="auto"/>
        <w:right w:val="none" w:sz="0" w:space="0" w:color="auto"/>
      </w:divBdr>
    </w:div>
    <w:div w:id="446319156">
      <w:bodyDiv w:val="1"/>
      <w:marLeft w:val="0"/>
      <w:marRight w:val="0"/>
      <w:marTop w:val="0"/>
      <w:marBottom w:val="0"/>
      <w:divBdr>
        <w:top w:val="none" w:sz="0" w:space="0" w:color="auto"/>
        <w:left w:val="none" w:sz="0" w:space="0" w:color="auto"/>
        <w:bottom w:val="none" w:sz="0" w:space="0" w:color="auto"/>
        <w:right w:val="none" w:sz="0" w:space="0" w:color="auto"/>
      </w:divBdr>
    </w:div>
    <w:div w:id="447087234">
      <w:bodyDiv w:val="1"/>
      <w:marLeft w:val="0"/>
      <w:marRight w:val="0"/>
      <w:marTop w:val="0"/>
      <w:marBottom w:val="0"/>
      <w:divBdr>
        <w:top w:val="none" w:sz="0" w:space="0" w:color="auto"/>
        <w:left w:val="none" w:sz="0" w:space="0" w:color="auto"/>
        <w:bottom w:val="none" w:sz="0" w:space="0" w:color="auto"/>
        <w:right w:val="none" w:sz="0" w:space="0" w:color="auto"/>
      </w:divBdr>
    </w:div>
    <w:div w:id="447939695">
      <w:bodyDiv w:val="1"/>
      <w:marLeft w:val="0"/>
      <w:marRight w:val="0"/>
      <w:marTop w:val="0"/>
      <w:marBottom w:val="0"/>
      <w:divBdr>
        <w:top w:val="none" w:sz="0" w:space="0" w:color="auto"/>
        <w:left w:val="none" w:sz="0" w:space="0" w:color="auto"/>
        <w:bottom w:val="none" w:sz="0" w:space="0" w:color="auto"/>
        <w:right w:val="none" w:sz="0" w:space="0" w:color="auto"/>
      </w:divBdr>
    </w:div>
    <w:div w:id="451094392">
      <w:bodyDiv w:val="1"/>
      <w:marLeft w:val="0"/>
      <w:marRight w:val="0"/>
      <w:marTop w:val="0"/>
      <w:marBottom w:val="0"/>
      <w:divBdr>
        <w:top w:val="none" w:sz="0" w:space="0" w:color="auto"/>
        <w:left w:val="none" w:sz="0" w:space="0" w:color="auto"/>
        <w:bottom w:val="none" w:sz="0" w:space="0" w:color="auto"/>
        <w:right w:val="none" w:sz="0" w:space="0" w:color="auto"/>
      </w:divBdr>
    </w:div>
    <w:div w:id="453016989">
      <w:bodyDiv w:val="1"/>
      <w:marLeft w:val="0"/>
      <w:marRight w:val="0"/>
      <w:marTop w:val="0"/>
      <w:marBottom w:val="0"/>
      <w:divBdr>
        <w:top w:val="none" w:sz="0" w:space="0" w:color="auto"/>
        <w:left w:val="none" w:sz="0" w:space="0" w:color="auto"/>
        <w:bottom w:val="none" w:sz="0" w:space="0" w:color="auto"/>
        <w:right w:val="none" w:sz="0" w:space="0" w:color="auto"/>
      </w:divBdr>
    </w:div>
    <w:div w:id="453792720">
      <w:bodyDiv w:val="1"/>
      <w:marLeft w:val="0"/>
      <w:marRight w:val="0"/>
      <w:marTop w:val="0"/>
      <w:marBottom w:val="0"/>
      <w:divBdr>
        <w:top w:val="none" w:sz="0" w:space="0" w:color="auto"/>
        <w:left w:val="none" w:sz="0" w:space="0" w:color="auto"/>
        <w:bottom w:val="none" w:sz="0" w:space="0" w:color="auto"/>
        <w:right w:val="none" w:sz="0" w:space="0" w:color="auto"/>
      </w:divBdr>
    </w:div>
    <w:div w:id="456071713">
      <w:bodyDiv w:val="1"/>
      <w:marLeft w:val="0"/>
      <w:marRight w:val="0"/>
      <w:marTop w:val="0"/>
      <w:marBottom w:val="0"/>
      <w:divBdr>
        <w:top w:val="none" w:sz="0" w:space="0" w:color="auto"/>
        <w:left w:val="none" w:sz="0" w:space="0" w:color="auto"/>
        <w:bottom w:val="none" w:sz="0" w:space="0" w:color="auto"/>
        <w:right w:val="none" w:sz="0" w:space="0" w:color="auto"/>
      </w:divBdr>
    </w:div>
    <w:div w:id="457258026">
      <w:bodyDiv w:val="1"/>
      <w:marLeft w:val="0"/>
      <w:marRight w:val="0"/>
      <w:marTop w:val="0"/>
      <w:marBottom w:val="0"/>
      <w:divBdr>
        <w:top w:val="none" w:sz="0" w:space="0" w:color="auto"/>
        <w:left w:val="none" w:sz="0" w:space="0" w:color="auto"/>
        <w:bottom w:val="none" w:sz="0" w:space="0" w:color="auto"/>
        <w:right w:val="none" w:sz="0" w:space="0" w:color="auto"/>
      </w:divBdr>
    </w:div>
    <w:div w:id="465506816">
      <w:bodyDiv w:val="1"/>
      <w:marLeft w:val="0"/>
      <w:marRight w:val="0"/>
      <w:marTop w:val="0"/>
      <w:marBottom w:val="0"/>
      <w:divBdr>
        <w:top w:val="none" w:sz="0" w:space="0" w:color="auto"/>
        <w:left w:val="none" w:sz="0" w:space="0" w:color="auto"/>
        <w:bottom w:val="none" w:sz="0" w:space="0" w:color="auto"/>
        <w:right w:val="none" w:sz="0" w:space="0" w:color="auto"/>
      </w:divBdr>
    </w:div>
    <w:div w:id="466633109">
      <w:bodyDiv w:val="1"/>
      <w:marLeft w:val="0"/>
      <w:marRight w:val="0"/>
      <w:marTop w:val="0"/>
      <w:marBottom w:val="0"/>
      <w:divBdr>
        <w:top w:val="none" w:sz="0" w:space="0" w:color="auto"/>
        <w:left w:val="none" w:sz="0" w:space="0" w:color="auto"/>
        <w:bottom w:val="none" w:sz="0" w:space="0" w:color="auto"/>
        <w:right w:val="none" w:sz="0" w:space="0" w:color="auto"/>
      </w:divBdr>
    </w:div>
    <w:div w:id="471026489">
      <w:bodyDiv w:val="1"/>
      <w:marLeft w:val="0"/>
      <w:marRight w:val="0"/>
      <w:marTop w:val="0"/>
      <w:marBottom w:val="0"/>
      <w:divBdr>
        <w:top w:val="none" w:sz="0" w:space="0" w:color="auto"/>
        <w:left w:val="none" w:sz="0" w:space="0" w:color="auto"/>
        <w:bottom w:val="none" w:sz="0" w:space="0" w:color="auto"/>
        <w:right w:val="none" w:sz="0" w:space="0" w:color="auto"/>
      </w:divBdr>
    </w:div>
    <w:div w:id="478036020">
      <w:bodyDiv w:val="1"/>
      <w:marLeft w:val="0"/>
      <w:marRight w:val="0"/>
      <w:marTop w:val="0"/>
      <w:marBottom w:val="0"/>
      <w:divBdr>
        <w:top w:val="none" w:sz="0" w:space="0" w:color="auto"/>
        <w:left w:val="none" w:sz="0" w:space="0" w:color="auto"/>
        <w:bottom w:val="none" w:sz="0" w:space="0" w:color="auto"/>
        <w:right w:val="none" w:sz="0" w:space="0" w:color="auto"/>
      </w:divBdr>
      <w:divsChild>
        <w:div w:id="82849075">
          <w:marLeft w:val="0"/>
          <w:marRight w:val="0"/>
          <w:marTop w:val="0"/>
          <w:marBottom w:val="0"/>
          <w:divBdr>
            <w:top w:val="none" w:sz="0" w:space="0" w:color="auto"/>
            <w:left w:val="none" w:sz="0" w:space="0" w:color="auto"/>
            <w:bottom w:val="none" w:sz="0" w:space="0" w:color="auto"/>
            <w:right w:val="none" w:sz="0" w:space="0" w:color="auto"/>
          </w:divBdr>
        </w:div>
      </w:divsChild>
    </w:div>
    <w:div w:id="479422981">
      <w:bodyDiv w:val="1"/>
      <w:marLeft w:val="0"/>
      <w:marRight w:val="0"/>
      <w:marTop w:val="0"/>
      <w:marBottom w:val="0"/>
      <w:divBdr>
        <w:top w:val="none" w:sz="0" w:space="0" w:color="auto"/>
        <w:left w:val="none" w:sz="0" w:space="0" w:color="auto"/>
        <w:bottom w:val="none" w:sz="0" w:space="0" w:color="auto"/>
        <w:right w:val="none" w:sz="0" w:space="0" w:color="auto"/>
      </w:divBdr>
    </w:div>
    <w:div w:id="483087017">
      <w:bodyDiv w:val="1"/>
      <w:marLeft w:val="0"/>
      <w:marRight w:val="0"/>
      <w:marTop w:val="0"/>
      <w:marBottom w:val="0"/>
      <w:divBdr>
        <w:top w:val="none" w:sz="0" w:space="0" w:color="auto"/>
        <w:left w:val="none" w:sz="0" w:space="0" w:color="auto"/>
        <w:bottom w:val="none" w:sz="0" w:space="0" w:color="auto"/>
        <w:right w:val="none" w:sz="0" w:space="0" w:color="auto"/>
      </w:divBdr>
    </w:div>
    <w:div w:id="489752348">
      <w:bodyDiv w:val="1"/>
      <w:marLeft w:val="0"/>
      <w:marRight w:val="0"/>
      <w:marTop w:val="0"/>
      <w:marBottom w:val="0"/>
      <w:divBdr>
        <w:top w:val="none" w:sz="0" w:space="0" w:color="auto"/>
        <w:left w:val="none" w:sz="0" w:space="0" w:color="auto"/>
        <w:bottom w:val="none" w:sz="0" w:space="0" w:color="auto"/>
        <w:right w:val="none" w:sz="0" w:space="0" w:color="auto"/>
      </w:divBdr>
    </w:div>
    <w:div w:id="495069614">
      <w:bodyDiv w:val="1"/>
      <w:marLeft w:val="0"/>
      <w:marRight w:val="0"/>
      <w:marTop w:val="0"/>
      <w:marBottom w:val="0"/>
      <w:divBdr>
        <w:top w:val="none" w:sz="0" w:space="0" w:color="auto"/>
        <w:left w:val="none" w:sz="0" w:space="0" w:color="auto"/>
        <w:bottom w:val="none" w:sz="0" w:space="0" w:color="auto"/>
        <w:right w:val="none" w:sz="0" w:space="0" w:color="auto"/>
      </w:divBdr>
    </w:div>
    <w:div w:id="495388924">
      <w:bodyDiv w:val="1"/>
      <w:marLeft w:val="0"/>
      <w:marRight w:val="0"/>
      <w:marTop w:val="0"/>
      <w:marBottom w:val="0"/>
      <w:divBdr>
        <w:top w:val="none" w:sz="0" w:space="0" w:color="auto"/>
        <w:left w:val="none" w:sz="0" w:space="0" w:color="auto"/>
        <w:bottom w:val="none" w:sz="0" w:space="0" w:color="auto"/>
        <w:right w:val="none" w:sz="0" w:space="0" w:color="auto"/>
      </w:divBdr>
    </w:div>
    <w:div w:id="513501729">
      <w:bodyDiv w:val="1"/>
      <w:marLeft w:val="0"/>
      <w:marRight w:val="0"/>
      <w:marTop w:val="0"/>
      <w:marBottom w:val="0"/>
      <w:divBdr>
        <w:top w:val="none" w:sz="0" w:space="0" w:color="auto"/>
        <w:left w:val="none" w:sz="0" w:space="0" w:color="auto"/>
        <w:bottom w:val="none" w:sz="0" w:space="0" w:color="auto"/>
        <w:right w:val="none" w:sz="0" w:space="0" w:color="auto"/>
      </w:divBdr>
    </w:div>
    <w:div w:id="521094849">
      <w:bodyDiv w:val="1"/>
      <w:marLeft w:val="0"/>
      <w:marRight w:val="0"/>
      <w:marTop w:val="0"/>
      <w:marBottom w:val="0"/>
      <w:divBdr>
        <w:top w:val="none" w:sz="0" w:space="0" w:color="auto"/>
        <w:left w:val="none" w:sz="0" w:space="0" w:color="auto"/>
        <w:bottom w:val="none" w:sz="0" w:space="0" w:color="auto"/>
        <w:right w:val="none" w:sz="0" w:space="0" w:color="auto"/>
      </w:divBdr>
    </w:div>
    <w:div w:id="524712441">
      <w:bodyDiv w:val="1"/>
      <w:marLeft w:val="0"/>
      <w:marRight w:val="0"/>
      <w:marTop w:val="0"/>
      <w:marBottom w:val="0"/>
      <w:divBdr>
        <w:top w:val="none" w:sz="0" w:space="0" w:color="auto"/>
        <w:left w:val="none" w:sz="0" w:space="0" w:color="auto"/>
        <w:bottom w:val="none" w:sz="0" w:space="0" w:color="auto"/>
        <w:right w:val="none" w:sz="0" w:space="0" w:color="auto"/>
      </w:divBdr>
    </w:div>
    <w:div w:id="529074760">
      <w:bodyDiv w:val="1"/>
      <w:marLeft w:val="0"/>
      <w:marRight w:val="0"/>
      <w:marTop w:val="0"/>
      <w:marBottom w:val="0"/>
      <w:divBdr>
        <w:top w:val="none" w:sz="0" w:space="0" w:color="auto"/>
        <w:left w:val="none" w:sz="0" w:space="0" w:color="auto"/>
        <w:bottom w:val="none" w:sz="0" w:space="0" w:color="auto"/>
        <w:right w:val="none" w:sz="0" w:space="0" w:color="auto"/>
      </w:divBdr>
    </w:div>
    <w:div w:id="534656055">
      <w:bodyDiv w:val="1"/>
      <w:marLeft w:val="0"/>
      <w:marRight w:val="0"/>
      <w:marTop w:val="0"/>
      <w:marBottom w:val="0"/>
      <w:divBdr>
        <w:top w:val="none" w:sz="0" w:space="0" w:color="auto"/>
        <w:left w:val="none" w:sz="0" w:space="0" w:color="auto"/>
        <w:bottom w:val="none" w:sz="0" w:space="0" w:color="auto"/>
        <w:right w:val="none" w:sz="0" w:space="0" w:color="auto"/>
      </w:divBdr>
    </w:div>
    <w:div w:id="540361682">
      <w:bodyDiv w:val="1"/>
      <w:marLeft w:val="0"/>
      <w:marRight w:val="0"/>
      <w:marTop w:val="0"/>
      <w:marBottom w:val="0"/>
      <w:divBdr>
        <w:top w:val="none" w:sz="0" w:space="0" w:color="auto"/>
        <w:left w:val="none" w:sz="0" w:space="0" w:color="auto"/>
        <w:bottom w:val="none" w:sz="0" w:space="0" w:color="auto"/>
        <w:right w:val="none" w:sz="0" w:space="0" w:color="auto"/>
      </w:divBdr>
    </w:div>
    <w:div w:id="540898490">
      <w:bodyDiv w:val="1"/>
      <w:marLeft w:val="0"/>
      <w:marRight w:val="0"/>
      <w:marTop w:val="0"/>
      <w:marBottom w:val="0"/>
      <w:divBdr>
        <w:top w:val="none" w:sz="0" w:space="0" w:color="auto"/>
        <w:left w:val="none" w:sz="0" w:space="0" w:color="auto"/>
        <w:bottom w:val="none" w:sz="0" w:space="0" w:color="auto"/>
        <w:right w:val="none" w:sz="0" w:space="0" w:color="auto"/>
      </w:divBdr>
    </w:div>
    <w:div w:id="546533725">
      <w:bodyDiv w:val="1"/>
      <w:marLeft w:val="0"/>
      <w:marRight w:val="0"/>
      <w:marTop w:val="0"/>
      <w:marBottom w:val="0"/>
      <w:divBdr>
        <w:top w:val="none" w:sz="0" w:space="0" w:color="auto"/>
        <w:left w:val="none" w:sz="0" w:space="0" w:color="auto"/>
        <w:bottom w:val="none" w:sz="0" w:space="0" w:color="auto"/>
        <w:right w:val="none" w:sz="0" w:space="0" w:color="auto"/>
      </w:divBdr>
    </w:div>
    <w:div w:id="547960383">
      <w:bodyDiv w:val="1"/>
      <w:marLeft w:val="0"/>
      <w:marRight w:val="0"/>
      <w:marTop w:val="0"/>
      <w:marBottom w:val="0"/>
      <w:divBdr>
        <w:top w:val="none" w:sz="0" w:space="0" w:color="auto"/>
        <w:left w:val="none" w:sz="0" w:space="0" w:color="auto"/>
        <w:bottom w:val="none" w:sz="0" w:space="0" w:color="auto"/>
        <w:right w:val="none" w:sz="0" w:space="0" w:color="auto"/>
      </w:divBdr>
    </w:div>
    <w:div w:id="553546307">
      <w:bodyDiv w:val="1"/>
      <w:marLeft w:val="0"/>
      <w:marRight w:val="0"/>
      <w:marTop w:val="0"/>
      <w:marBottom w:val="0"/>
      <w:divBdr>
        <w:top w:val="none" w:sz="0" w:space="0" w:color="auto"/>
        <w:left w:val="none" w:sz="0" w:space="0" w:color="auto"/>
        <w:bottom w:val="none" w:sz="0" w:space="0" w:color="auto"/>
        <w:right w:val="none" w:sz="0" w:space="0" w:color="auto"/>
      </w:divBdr>
    </w:div>
    <w:div w:id="557083960">
      <w:bodyDiv w:val="1"/>
      <w:marLeft w:val="0"/>
      <w:marRight w:val="0"/>
      <w:marTop w:val="0"/>
      <w:marBottom w:val="0"/>
      <w:divBdr>
        <w:top w:val="none" w:sz="0" w:space="0" w:color="auto"/>
        <w:left w:val="none" w:sz="0" w:space="0" w:color="auto"/>
        <w:bottom w:val="none" w:sz="0" w:space="0" w:color="auto"/>
        <w:right w:val="none" w:sz="0" w:space="0" w:color="auto"/>
      </w:divBdr>
    </w:div>
    <w:div w:id="557204893">
      <w:bodyDiv w:val="1"/>
      <w:marLeft w:val="0"/>
      <w:marRight w:val="0"/>
      <w:marTop w:val="0"/>
      <w:marBottom w:val="0"/>
      <w:divBdr>
        <w:top w:val="none" w:sz="0" w:space="0" w:color="auto"/>
        <w:left w:val="none" w:sz="0" w:space="0" w:color="auto"/>
        <w:bottom w:val="none" w:sz="0" w:space="0" w:color="auto"/>
        <w:right w:val="none" w:sz="0" w:space="0" w:color="auto"/>
      </w:divBdr>
    </w:div>
    <w:div w:id="557782046">
      <w:bodyDiv w:val="1"/>
      <w:marLeft w:val="0"/>
      <w:marRight w:val="0"/>
      <w:marTop w:val="0"/>
      <w:marBottom w:val="0"/>
      <w:divBdr>
        <w:top w:val="none" w:sz="0" w:space="0" w:color="auto"/>
        <w:left w:val="none" w:sz="0" w:space="0" w:color="auto"/>
        <w:bottom w:val="none" w:sz="0" w:space="0" w:color="auto"/>
        <w:right w:val="none" w:sz="0" w:space="0" w:color="auto"/>
      </w:divBdr>
    </w:div>
    <w:div w:id="558439651">
      <w:bodyDiv w:val="1"/>
      <w:marLeft w:val="0"/>
      <w:marRight w:val="0"/>
      <w:marTop w:val="0"/>
      <w:marBottom w:val="0"/>
      <w:divBdr>
        <w:top w:val="none" w:sz="0" w:space="0" w:color="auto"/>
        <w:left w:val="none" w:sz="0" w:space="0" w:color="auto"/>
        <w:bottom w:val="none" w:sz="0" w:space="0" w:color="auto"/>
        <w:right w:val="none" w:sz="0" w:space="0" w:color="auto"/>
      </w:divBdr>
    </w:div>
    <w:div w:id="565072536">
      <w:bodyDiv w:val="1"/>
      <w:marLeft w:val="0"/>
      <w:marRight w:val="0"/>
      <w:marTop w:val="0"/>
      <w:marBottom w:val="0"/>
      <w:divBdr>
        <w:top w:val="none" w:sz="0" w:space="0" w:color="auto"/>
        <w:left w:val="none" w:sz="0" w:space="0" w:color="auto"/>
        <w:bottom w:val="none" w:sz="0" w:space="0" w:color="auto"/>
        <w:right w:val="none" w:sz="0" w:space="0" w:color="auto"/>
      </w:divBdr>
    </w:div>
    <w:div w:id="570772883">
      <w:bodyDiv w:val="1"/>
      <w:marLeft w:val="0"/>
      <w:marRight w:val="0"/>
      <w:marTop w:val="0"/>
      <w:marBottom w:val="0"/>
      <w:divBdr>
        <w:top w:val="none" w:sz="0" w:space="0" w:color="auto"/>
        <w:left w:val="none" w:sz="0" w:space="0" w:color="auto"/>
        <w:bottom w:val="none" w:sz="0" w:space="0" w:color="auto"/>
        <w:right w:val="none" w:sz="0" w:space="0" w:color="auto"/>
      </w:divBdr>
    </w:div>
    <w:div w:id="572391850">
      <w:bodyDiv w:val="1"/>
      <w:marLeft w:val="0"/>
      <w:marRight w:val="0"/>
      <w:marTop w:val="0"/>
      <w:marBottom w:val="0"/>
      <w:divBdr>
        <w:top w:val="none" w:sz="0" w:space="0" w:color="auto"/>
        <w:left w:val="none" w:sz="0" w:space="0" w:color="auto"/>
        <w:bottom w:val="none" w:sz="0" w:space="0" w:color="auto"/>
        <w:right w:val="none" w:sz="0" w:space="0" w:color="auto"/>
      </w:divBdr>
    </w:div>
    <w:div w:id="572667926">
      <w:bodyDiv w:val="1"/>
      <w:marLeft w:val="0"/>
      <w:marRight w:val="0"/>
      <w:marTop w:val="0"/>
      <w:marBottom w:val="0"/>
      <w:divBdr>
        <w:top w:val="none" w:sz="0" w:space="0" w:color="auto"/>
        <w:left w:val="none" w:sz="0" w:space="0" w:color="auto"/>
        <w:bottom w:val="none" w:sz="0" w:space="0" w:color="auto"/>
        <w:right w:val="none" w:sz="0" w:space="0" w:color="auto"/>
      </w:divBdr>
    </w:div>
    <w:div w:id="572936194">
      <w:bodyDiv w:val="1"/>
      <w:marLeft w:val="0"/>
      <w:marRight w:val="0"/>
      <w:marTop w:val="0"/>
      <w:marBottom w:val="0"/>
      <w:divBdr>
        <w:top w:val="none" w:sz="0" w:space="0" w:color="auto"/>
        <w:left w:val="none" w:sz="0" w:space="0" w:color="auto"/>
        <w:bottom w:val="none" w:sz="0" w:space="0" w:color="auto"/>
        <w:right w:val="none" w:sz="0" w:space="0" w:color="auto"/>
      </w:divBdr>
    </w:div>
    <w:div w:id="573275598">
      <w:bodyDiv w:val="1"/>
      <w:marLeft w:val="0"/>
      <w:marRight w:val="0"/>
      <w:marTop w:val="0"/>
      <w:marBottom w:val="0"/>
      <w:divBdr>
        <w:top w:val="none" w:sz="0" w:space="0" w:color="auto"/>
        <w:left w:val="none" w:sz="0" w:space="0" w:color="auto"/>
        <w:bottom w:val="none" w:sz="0" w:space="0" w:color="auto"/>
        <w:right w:val="none" w:sz="0" w:space="0" w:color="auto"/>
      </w:divBdr>
    </w:div>
    <w:div w:id="577373602">
      <w:bodyDiv w:val="1"/>
      <w:marLeft w:val="0"/>
      <w:marRight w:val="0"/>
      <w:marTop w:val="0"/>
      <w:marBottom w:val="0"/>
      <w:divBdr>
        <w:top w:val="none" w:sz="0" w:space="0" w:color="auto"/>
        <w:left w:val="none" w:sz="0" w:space="0" w:color="auto"/>
        <w:bottom w:val="none" w:sz="0" w:space="0" w:color="auto"/>
        <w:right w:val="none" w:sz="0" w:space="0" w:color="auto"/>
      </w:divBdr>
    </w:div>
    <w:div w:id="578439938">
      <w:bodyDiv w:val="1"/>
      <w:marLeft w:val="0"/>
      <w:marRight w:val="0"/>
      <w:marTop w:val="0"/>
      <w:marBottom w:val="0"/>
      <w:divBdr>
        <w:top w:val="none" w:sz="0" w:space="0" w:color="auto"/>
        <w:left w:val="none" w:sz="0" w:space="0" w:color="auto"/>
        <w:bottom w:val="none" w:sz="0" w:space="0" w:color="auto"/>
        <w:right w:val="none" w:sz="0" w:space="0" w:color="auto"/>
      </w:divBdr>
    </w:div>
    <w:div w:id="581722918">
      <w:bodyDiv w:val="1"/>
      <w:marLeft w:val="0"/>
      <w:marRight w:val="0"/>
      <w:marTop w:val="0"/>
      <w:marBottom w:val="0"/>
      <w:divBdr>
        <w:top w:val="none" w:sz="0" w:space="0" w:color="auto"/>
        <w:left w:val="none" w:sz="0" w:space="0" w:color="auto"/>
        <w:bottom w:val="none" w:sz="0" w:space="0" w:color="auto"/>
        <w:right w:val="none" w:sz="0" w:space="0" w:color="auto"/>
      </w:divBdr>
    </w:div>
    <w:div w:id="582569988">
      <w:bodyDiv w:val="1"/>
      <w:marLeft w:val="0"/>
      <w:marRight w:val="0"/>
      <w:marTop w:val="0"/>
      <w:marBottom w:val="0"/>
      <w:divBdr>
        <w:top w:val="none" w:sz="0" w:space="0" w:color="auto"/>
        <w:left w:val="none" w:sz="0" w:space="0" w:color="auto"/>
        <w:bottom w:val="none" w:sz="0" w:space="0" w:color="auto"/>
        <w:right w:val="none" w:sz="0" w:space="0" w:color="auto"/>
      </w:divBdr>
    </w:div>
    <w:div w:id="583681433">
      <w:bodyDiv w:val="1"/>
      <w:marLeft w:val="0"/>
      <w:marRight w:val="0"/>
      <w:marTop w:val="0"/>
      <w:marBottom w:val="0"/>
      <w:divBdr>
        <w:top w:val="none" w:sz="0" w:space="0" w:color="auto"/>
        <w:left w:val="none" w:sz="0" w:space="0" w:color="auto"/>
        <w:bottom w:val="none" w:sz="0" w:space="0" w:color="auto"/>
        <w:right w:val="none" w:sz="0" w:space="0" w:color="auto"/>
      </w:divBdr>
    </w:div>
    <w:div w:id="611284679">
      <w:bodyDiv w:val="1"/>
      <w:marLeft w:val="0"/>
      <w:marRight w:val="0"/>
      <w:marTop w:val="0"/>
      <w:marBottom w:val="0"/>
      <w:divBdr>
        <w:top w:val="none" w:sz="0" w:space="0" w:color="auto"/>
        <w:left w:val="none" w:sz="0" w:space="0" w:color="auto"/>
        <w:bottom w:val="none" w:sz="0" w:space="0" w:color="auto"/>
        <w:right w:val="none" w:sz="0" w:space="0" w:color="auto"/>
      </w:divBdr>
    </w:div>
    <w:div w:id="612591917">
      <w:bodyDiv w:val="1"/>
      <w:marLeft w:val="0"/>
      <w:marRight w:val="0"/>
      <w:marTop w:val="0"/>
      <w:marBottom w:val="0"/>
      <w:divBdr>
        <w:top w:val="none" w:sz="0" w:space="0" w:color="auto"/>
        <w:left w:val="none" w:sz="0" w:space="0" w:color="auto"/>
        <w:bottom w:val="none" w:sz="0" w:space="0" w:color="auto"/>
        <w:right w:val="none" w:sz="0" w:space="0" w:color="auto"/>
      </w:divBdr>
    </w:div>
    <w:div w:id="620116779">
      <w:bodyDiv w:val="1"/>
      <w:marLeft w:val="0"/>
      <w:marRight w:val="0"/>
      <w:marTop w:val="0"/>
      <w:marBottom w:val="0"/>
      <w:divBdr>
        <w:top w:val="none" w:sz="0" w:space="0" w:color="auto"/>
        <w:left w:val="none" w:sz="0" w:space="0" w:color="auto"/>
        <w:bottom w:val="none" w:sz="0" w:space="0" w:color="auto"/>
        <w:right w:val="none" w:sz="0" w:space="0" w:color="auto"/>
      </w:divBdr>
    </w:div>
    <w:div w:id="621573010">
      <w:bodyDiv w:val="1"/>
      <w:marLeft w:val="0"/>
      <w:marRight w:val="0"/>
      <w:marTop w:val="0"/>
      <w:marBottom w:val="0"/>
      <w:divBdr>
        <w:top w:val="none" w:sz="0" w:space="0" w:color="auto"/>
        <w:left w:val="none" w:sz="0" w:space="0" w:color="auto"/>
        <w:bottom w:val="none" w:sz="0" w:space="0" w:color="auto"/>
        <w:right w:val="none" w:sz="0" w:space="0" w:color="auto"/>
      </w:divBdr>
    </w:div>
    <w:div w:id="625310969">
      <w:bodyDiv w:val="1"/>
      <w:marLeft w:val="0"/>
      <w:marRight w:val="0"/>
      <w:marTop w:val="0"/>
      <w:marBottom w:val="0"/>
      <w:divBdr>
        <w:top w:val="none" w:sz="0" w:space="0" w:color="auto"/>
        <w:left w:val="none" w:sz="0" w:space="0" w:color="auto"/>
        <w:bottom w:val="none" w:sz="0" w:space="0" w:color="auto"/>
        <w:right w:val="none" w:sz="0" w:space="0" w:color="auto"/>
      </w:divBdr>
    </w:div>
    <w:div w:id="633604692">
      <w:bodyDiv w:val="1"/>
      <w:marLeft w:val="0"/>
      <w:marRight w:val="0"/>
      <w:marTop w:val="0"/>
      <w:marBottom w:val="0"/>
      <w:divBdr>
        <w:top w:val="none" w:sz="0" w:space="0" w:color="auto"/>
        <w:left w:val="none" w:sz="0" w:space="0" w:color="auto"/>
        <w:bottom w:val="none" w:sz="0" w:space="0" w:color="auto"/>
        <w:right w:val="none" w:sz="0" w:space="0" w:color="auto"/>
      </w:divBdr>
    </w:div>
    <w:div w:id="653804814">
      <w:bodyDiv w:val="1"/>
      <w:marLeft w:val="0"/>
      <w:marRight w:val="0"/>
      <w:marTop w:val="0"/>
      <w:marBottom w:val="0"/>
      <w:divBdr>
        <w:top w:val="none" w:sz="0" w:space="0" w:color="auto"/>
        <w:left w:val="none" w:sz="0" w:space="0" w:color="auto"/>
        <w:bottom w:val="none" w:sz="0" w:space="0" w:color="auto"/>
        <w:right w:val="none" w:sz="0" w:space="0" w:color="auto"/>
      </w:divBdr>
    </w:div>
    <w:div w:id="662204246">
      <w:bodyDiv w:val="1"/>
      <w:marLeft w:val="0"/>
      <w:marRight w:val="0"/>
      <w:marTop w:val="0"/>
      <w:marBottom w:val="0"/>
      <w:divBdr>
        <w:top w:val="none" w:sz="0" w:space="0" w:color="auto"/>
        <w:left w:val="none" w:sz="0" w:space="0" w:color="auto"/>
        <w:bottom w:val="none" w:sz="0" w:space="0" w:color="auto"/>
        <w:right w:val="none" w:sz="0" w:space="0" w:color="auto"/>
      </w:divBdr>
    </w:div>
    <w:div w:id="669603563">
      <w:bodyDiv w:val="1"/>
      <w:marLeft w:val="0"/>
      <w:marRight w:val="0"/>
      <w:marTop w:val="0"/>
      <w:marBottom w:val="0"/>
      <w:divBdr>
        <w:top w:val="none" w:sz="0" w:space="0" w:color="auto"/>
        <w:left w:val="none" w:sz="0" w:space="0" w:color="auto"/>
        <w:bottom w:val="none" w:sz="0" w:space="0" w:color="auto"/>
        <w:right w:val="none" w:sz="0" w:space="0" w:color="auto"/>
      </w:divBdr>
    </w:div>
    <w:div w:id="670834609">
      <w:bodyDiv w:val="1"/>
      <w:marLeft w:val="0"/>
      <w:marRight w:val="0"/>
      <w:marTop w:val="0"/>
      <w:marBottom w:val="0"/>
      <w:divBdr>
        <w:top w:val="none" w:sz="0" w:space="0" w:color="auto"/>
        <w:left w:val="none" w:sz="0" w:space="0" w:color="auto"/>
        <w:bottom w:val="none" w:sz="0" w:space="0" w:color="auto"/>
        <w:right w:val="none" w:sz="0" w:space="0" w:color="auto"/>
      </w:divBdr>
    </w:div>
    <w:div w:id="673725332">
      <w:bodyDiv w:val="1"/>
      <w:marLeft w:val="0"/>
      <w:marRight w:val="0"/>
      <w:marTop w:val="0"/>
      <w:marBottom w:val="0"/>
      <w:divBdr>
        <w:top w:val="none" w:sz="0" w:space="0" w:color="auto"/>
        <w:left w:val="none" w:sz="0" w:space="0" w:color="auto"/>
        <w:bottom w:val="none" w:sz="0" w:space="0" w:color="auto"/>
        <w:right w:val="none" w:sz="0" w:space="0" w:color="auto"/>
      </w:divBdr>
    </w:div>
    <w:div w:id="678778633">
      <w:bodyDiv w:val="1"/>
      <w:marLeft w:val="0"/>
      <w:marRight w:val="0"/>
      <w:marTop w:val="0"/>
      <w:marBottom w:val="0"/>
      <w:divBdr>
        <w:top w:val="none" w:sz="0" w:space="0" w:color="auto"/>
        <w:left w:val="none" w:sz="0" w:space="0" w:color="auto"/>
        <w:bottom w:val="none" w:sz="0" w:space="0" w:color="auto"/>
        <w:right w:val="none" w:sz="0" w:space="0" w:color="auto"/>
      </w:divBdr>
    </w:div>
    <w:div w:id="683172955">
      <w:bodyDiv w:val="1"/>
      <w:marLeft w:val="0"/>
      <w:marRight w:val="0"/>
      <w:marTop w:val="0"/>
      <w:marBottom w:val="0"/>
      <w:divBdr>
        <w:top w:val="none" w:sz="0" w:space="0" w:color="auto"/>
        <w:left w:val="none" w:sz="0" w:space="0" w:color="auto"/>
        <w:bottom w:val="none" w:sz="0" w:space="0" w:color="auto"/>
        <w:right w:val="none" w:sz="0" w:space="0" w:color="auto"/>
      </w:divBdr>
    </w:div>
    <w:div w:id="683897300">
      <w:bodyDiv w:val="1"/>
      <w:marLeft w:val="0"/>
      <w:marRight w:val="0"/>
      <w:marTop w:val="0"/>
      <w:marBottom w:val="0"/>
      <w:divBdr>
        <w:top w:val="none" w:sz="0" w:space="0" w:color="auto"/>
        <w:left w:val="none" w:sz="0" w:space="0" w:color="auto"/>
        <w:bottom w:val="none" w:sz="0" w:space="0" w:color="auto"/>
        <w:right w:val="none" w:sz="0" w:space="0" w:color="auto"/>
      </w:divBdr>
    </w:div>
    <w:div w:id="685715798">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2918839">
      <w:bodyDiv w:val="1"/>
      <w:marLeft w:val="0"/>
      <w:marRight w:val="0"/>
      <w:marTop w:val="0"/>
      <w:marBottom w:val="0"/>
      <w:divBdr>
        <w:top w:val="none" w:sz="0" w:space="0" w:color="auto"/>
        <w:left w:val="none" w:sz="0" w:space="0" w:color="auto"/>
        <w:bottom w:val="none" w:sz="0" w:space="0" w:color="auto"/>
        <w:right w:val="none" w:sz="0" w:space="0" w:color="auto"/>
      </w:divBdr>
    </w:div>
    <w:div w:id="695351023">
      <w:bodyDiv w:val="1"/>
      <w:marLeft w:val="0"/>
      <w:marRight w:val="0"/>
      <w:marTop w:val="0"/>
      <w:marBottom w:val="0"/>
      <w:divBdr>
        <w:top w:val="none" w:sz="0" w:space="0" w:color="auto"/>
        <w:left w:val="none" w:sz="0" w:space="0" w:color="auto"/>
        <w:bottom w:val="none" w:sz="0" w:space="0" w:color="auto"/>
        <w:right w:val="none" w:sz="0" w:space="0" w:color="auto"/>
      </w:divBdr>
    </w:div>
    <w:div w:id="704061883">
      <w:bodyDiv w:val="1"/>
      <w:marLeft w:val="0"/>
      <w:marRight w:val="0"/>
      <w:marTop w:val="0"/>
      <w:marBottom w:val="0"/>
      <w:divBdr>
        <w:top w:val="none" w:sz="0" w:space="0" w:color="auto"/>
        <w:left w:val="none" w:sz="0" w:space="0" w:color="auto"/>
        <w:bottom w:val="none" w:sz="0" w:space="0" w:color="auto"/>
        <w:right w:val="none" w:sz="0" w:space="0" w:color="auto"/>
      </w:divBdr>
    </w:div>
    <w:div w:id="714737208">
      <w:bodyDiv w:val="1"/>
      <w:marLeft w:val="0"/>
      <w:marRight w:val="0"/>
      <w:marTop w:val="0"/>
      <w:marBottom w:val="0"/>
      <w:divBdr>
        <w:top w:val="none" w:sz="0" w:space="0" w:color="auto"/>
        <w:left w:val="none" w:sz="0" w:space="0" w:color="auto"/>
        <w:bottom w:val="none" w:sz="0" w:space="0" w:color="auto"/>
        <w:right w:val="none" w:sz="0" w:space="0" w:color="auto"/>
      </w:divBdr>
    </w:div>
    <w:div w:id="715591161">
      <w:bodyDiv w:val="1"/>
      <w:marLeft w:val="0"/>
      <w:marRight w:val="0"/>
      <w:marTop w:val="0"/>
      <w:marBottom w:val="0"/>
      <w:divBdr>
        <w:top w:val="none" w:sz="0" w:space="0" w:color="auto"/>
        <w:left w:val="none" w:sz="0" w:space="0" w:color="auto"/>
        <w:bottom w:val="none" w:sz="0" w:space="0" w:color="auto"/>
        <w:right w:val="none" w:sz="0" w:space="0" w:color="auto"/>
      </w:divBdr>
    </w:div>
    <w:div w:id="717247915">
      <w:bodyDiv w:val="1"/>
      <w:marLeft w:val="0"/>
      <w:marRight w:val="0"/>
      <w:marTop w:val="0"/>
      <w:marBottom w:val="0"/>
      <w:divBdr>
        <w:top w:val="none" w:sz="0" w:space="0" w:color="auto"/>
        <w:left w:val="none" w:sz="0" w:space="0" w:color="auto"/>
        <w:bottom w:val="none" w:sz="0" w:space="0" w:color="auto"/>
        <w:right w:val="none" w:sz="0" w:space="0" w:color="auto"/>
      </w:divBdr>
    </w:div>
    <w:div w:id="719205145">
      <w:bodyDiv w:val="1"/>
      <w:marLeft w:val="0"/>
      <w:marRight w:val="0"/>
      <w:marTop w:val="0"/>
      <w:marBottom w:val="0"/>
      <w:divBdr>
        <w:top w:val="none" w:sz="0" w:space="0" w:color="auto"/>
        <w:left w:val="none" w:sz="0" w:space="0" w:color="auto"/>
        <w:bottom w:val="none" w:sz="0" w:space="0" w:color="auto"/>
        <w:right w:val="none" w:sz="0" w:space="0" w:color="auto"/>
      </w:divBdr>
    </w:div>
    <w:div w:id="719598158">
      <w:bodyDiv w:val="1"/>
      <w:marLeft w:val="0"/>
      <w:marRight w:val="0"/>
      <w:marTop w:val="0"/>
      <w:marBottom w:val="0"/>
      <w:divBdr>
        <w:top w:val="none" w:sz="0" w:space="0" w:color="auto"/>
        <w:left w:val="none" w:sz="0" w:space="0" w:color="auto"/>
        <w:bottom w:val="none" w:sz="0" w:space="0" w:color="auto"/>
        <w:right w:val="none" w:sz="0" w:space="0" w:color="auto"/>
      </w:divBdr>
    </w:div>
    <w:div w:id="720901550">
      <w:bodyDiv w:val="1"/>
      <w:marLeft w:val="0"/>
      <w:marRight w:val="0"/>
      <w:marTop w:val="0"/>
      <w:marBottom w:val="0"/>
      <w:divBdr>
        <w:top w:val="none" w:sz="0" w:space="0" w:color="auto"/>
        <w:left w:val="none" w:sz="0" w:space="0" w:color="auto"/>
        <w:bottom w:val="none" w:sz="0" w:space="0" w:color="auto"/>
        <w:right w:val="none" w:sz="0" w:space="0" w:color="auto"/>
      </w:divBdr>
    </w:div>
    <w:div w:id="730614478">
      <w:bodyDiv w:val="1"/>
      <w:marLeft w:val="0"/>
      <w:marRight w:val="0"/>
      <w:marTop w:val="0"/>
      <w:marBottom w:val="0"/>
      <w:divBdr>
        <w:top w:val="none" w:sz="0" w:space="0" w:color="auto"/>
        <w:left w:val="none" w:sz="0" w:space="0" w:color="auto"/>
        <w:bottom w:val="none" w:sz="0" w:space="0" w:color="auto"/>
        <w:right w:val="none" w:sz="0" w:space="0" w:color="auto"/>
      </w:divBdr>
    </w:div>
    <w:div w:id="737560560">
      <w:bodyDiv w:val="1"/>
      <w:marLeft w:val="0"/>
      <w:marRight w:val="0"/>
      <w:marTop w:val="0"/>
      <w:marBottom w:val="0"/>
      <w:divBdr>
        <w:top w:val="none" w:sz="0" w:space="0" w:color="auto"/>
        <w:left w:val="none" w:sz="0" w:space="0" w:color="auto"/>
        <w:bottom w:val="none" w:sz="0" w:space="0" w:color="auto"/>
        <w:right w:val="none" w:sz="0" w:space="0" w:color="auto"/>
      </w:divBdr>
    </w:div>
    <w:div w:id="737827099">
      <w:bodyDiv w:val="1"/>
      <w:marLeft w:val="0"/>
      <w:marRight w:val="0"/>
      <w:marTop w:val="0"/>
      <w:marBottom w:val="0"/>
      <w:divBdr>
        <w:top w:val="none" w:sz="0" w:space="0" w:color="auto"/>
        <w:left w:val="none" w:sz="0" w:space="0" w:color="auto"/>
        <w:bottom w:val="none" w:sz="0" w:space="0" w:color="auto"/>
        <w:right w:val="none" w:sz="0" w:space="0" w:color="auto"/>
      </w:divBdr>
    </w:div>
    <w:div w:id="743573989">
      <w:bodyDiv w:val="1"/>
      <w:marLeft w:val="0"/>
      <w:marRight w:val="0"/>
      <w:marTop w:val="0"/>
      <w:marBottom w:val="0"/>
      <w:divBdr>
        <w:top w:val="none" w:sz="0" w:space="0" w:color="auto"/>
        <w:left w:val="none" w:sz="0" w:space="0" w:color="auto"/>
        <w:bottom w:val="none" w:sz="0" w:space="0" w:color="auto"/>
        <w:right w:val="none" w:sz="0" w:space="0" w:color="auto"/>
      </w:divBdr>
    </w:div>
    <w:div w:id="747459627">
      <w:bodyDiv w:val="1"/>
      <w:marLeft w:val="0"/>
      <w:marRight w:val="0"/>
      <w:marTop w:val="0"/>
      <w:marBottom w:val="0"/>
      <w:divBdr>
        <w:top w:val="none" w:sz="0" w:space="0" w:color="auto"/>
        <w:left w:val="none" w:sz="0" w:space="0" w:color="auto"/>
        <w:bottom w:val="none" w:sz="0" w:space="0" w:color="auto"/>
        <w:right w:val="none" w:sz="0" w:space="0" w:color="auto"/>
      </w:divBdr>
    </w:div>
    <w:div w:id="753235897">
      <w:bodyDiv w:val="1"/>
      <w:marLeft w:val="0"/>
      <w:marRight w:val="0"/>
      <w:marTop w:val="0"/>
      <w:marBottom w:val="0"/>
      <w:divBdr>
        <w:top w:val="none" w:sz="0" w:space="0" w:color="auto"/>
        <w:left w:val="none" w:sz="0" w:space="0" w:color="auto"/>
        <w:bottom w:val="none" w:sz="0" w:space="0" w:color="auto"/>
        <w:right w:val="none" w:sz="0" w:space="0" w:color="auto"/>
      </w:divBdr>
    </w:div>
    <w:div w:id="763573359">
      <w:bodyDiv w:val="1"/>
      <w:marLeft w:val="0"/>
      <w:marRight w:val="0"/>
      <w:marTop w:val="0"/>
      <w:marBottom w:val="0"/>
      <w:divBdr>
        <w:top w:val="none" w:sz="0" w:space="0" w:color="auto"/>
        <w:left w:val="none" w:sz="0" w:space="0" w:color="auto"/>
        <w:bottom w:val="none" w:sz="0" w:space="0" w:color="auto"/>
        <w:right w:val="none" w:sz="0" w:space="0" w:color="auto"/>
      </w:divBdr>
    </w:div>
    <w:div w:id="786433755">
      <w:bodyDiv w:val="1"/>
      <w:marLeft w:val="0"/>
      <w:marRight w:val="0"/>
      <w:marTop w:val="0"/>
      <w:marBottom w:val="0"/>
      <w:divBdr>
        <w:top w:val="none" w:sz="0" w:space="0" w:color="auto"/>
        <w:left w:val="none" w:sz="0" w:space="0" w:color="auto"/>
        <w:bottom w:val="none" w:sz="0" w:space="0" w:color="auto"/>
        <w:right w:val="none" w:sz="0" w:space="0" w:color="auto"/>
      </w:divBdr>
    </w:div>
    <w:div w:id="791097427">
      <w:bodyDiv w:val="1"/>
      <w:marLeft w:val="0"/>
      <w:marRight w:val="0"/>
      <w:marTop w:val="0"/>
      <w:marBottom w:val="0"/>
      <w:divBdr>
        <w:top w:val="none" w:sz="0" w:space="0" w:color="auto"/>
        <w:left w:val="none" w:sz="0" w:space="0" w:color="auto"/>
        <w:bottom w:val="none" w:sz="0" w:space="0" w:color="auto"/>
        <w:right w:val="none" w:sz="0" w:space="0" w:color="auto"/>
      </w:divBdr>
    </w:div>
    <w:div w:id="801657061">
      <w:bodyDiv w:val="1"/>
      <w:marLeft w:val="0"/>
      <w:marRight w:val="0"/>
      <w:marTop w:val="0"/>
      <w:marBottom w:val="0"/>
      <w:divBdr>
        <w:top w:val="none" w:sz="0" w:space="0" w:color="auto"/>
        <w:left w:val="none" w:sz="0" w:space="0" w:color="auto"/>
        <w:bottom w:val="none" w:sz="0" w:space="0" w:color="auto"/>
        <w:right w:val="none" w:sz="0" w:space="0" w:color="auto"/>
      </w:divBdr>
    </w:div>
    <w:div w:id="808404038">
      <w:bodyDiv w:val="1"/>
      <w:marLeft w:val="0"/>
      <w:marRight w:val="0"/>
      <w:marTop w:val="0"/>
      <w:marBottom w:val="0"/>
      <w:divBdr>
        <w:top w:val="none" w:sz="0" w:space="0" w:color="auto"/>
        <w:left w:val="none" w:sz="0" w:space="0" w:color="auto"/>
        <w:bottom w:val="none" w:sz="0" w:space="0" w:color="auto"/>
        <w:right w:val="none" w:sz="0" w:space="0" w:color="auto"/>
      </w:divBdr>
    </w:div>
    <w:div w:id="823278281">
      <w:bodyDiv w:val="1"/>
      <w:marLeft w:val="0"/>
      <w:marRight w:val="0"/>
      <w:marTop w:val="0"/>
      <w:marBottom w:val="0"/>
      <w:divBdr>
        <w:top w:val="none" w:sz="0" w:space="0" w:color="auto"/>
        <w:left w:val="none" w:sz="0" w:space="0" w:color="auto"/>
        <w:bottom w:val="none" w:sz="0" w:space="0" w:color="auto"/>
        <w:right w:val="none" w:sz="0" w:space="0" w:color="auto"/>
      </w:divBdr>
    </w:div>
    <w:div w:id="831144152">
      <w:bodyDiv w:val="1"/>
      <w:marLeft w:val="0"/>
      <w:marRight w:val="0"/>
      <w:marTop w:val="0"/>
      <w:marBottom w:val="0"/>
      <w:divBdr>
        <w:top w:val="none" w:sz="0" w:space="0" w:color="auto"/>
        <w:left w:val="none" w:sz="0" w:space="0" w:color="auto"/>
        <w:bottom w:val="none" w:sz="0" w:space="0" w:color="auto"/>
        <w:right w:val="none" w:sz="0" w:space="0" w:color="auto"/>
      </w:divBdr>
    </w:div>
    <w:div w:id="840899877">
      <w:bodyDiv w:val="1"/>
      <w:marLeft w:val="0"/>
      <w:marRight w:val="0"/>
      <w:marTop w:val="0"/>
      <w:marBottom w:val="0"/>
      <w:divBdr>
        <w:top w:val="none" w:sz="0" w:space="0" w:color="auto"/>
        <w:left w:val="none" w:sz="0" w:space="0" w:color="auto"/>
        <w:bottom w:val="none" w:sz="0" w:space="0" w:color="auto"/>
        <w:right w:val="none" w:sz="0" w:space="0" w:color="auto"/>
      </w:divBdr>
    </w:div>
    <w:div w:id="852450387">
      <w:bodyDiv w:val="1"/>
      <w:marLeft w:val="0"/>
      <w:marRight w:val="0"/>
      <w:marTop w:val="0"/>
      <w:marBottom w:val="0"/>
      <w:divBdr>
        <w:top w:val="none" w:sz="0" w:space="0" w:color="auto"/>
        <w:left w:val="none" w:sz="0" w:space="0" w:color="auto"/>
        <w:bottom w:val="none" w:sz="0" w:space="0" w:color="auto"/>
        <w:right w:val="none" w:sz="0" w:space="0" w:color="auto"/>
      </w:divBdr>
    </w:div>
    <w:div w:id="856964236">
      <w:bodyDiv w:val="1"/>
      <w:marLeft w:val="0"/>
      <w:marRight w:val="0"/>
      <w:marTop w:val="0"/>
      <w:marBottom w:val="0"/>
      <w:divBdr>
        <w:top w:val="none" w:sz="0" w:space="0" w:color="auto"/>
        <w:left w:val="none" w:sz="0" w:space="0" w:color="auto"/>
        <w:bottom w:val="none" w:sz="0" w:space="0" w:color="auto"/>
        <w:right w:val="none" w:sz="0" w:space="0" w:color="auto"/>
      </w:divBdr>
    </w:div>
    <w:div w:id="861281162">
      <w:bodyDiv w:val="1"/>
      <w:marLeft w:val="0"/>
      <w:marRight w:val="0"/>
      <w:marTop w:val="0"/>
      <w:marBottom w:val="0"/>
      <w:divBdr>
        <w:top w:val="none" w:sz="0" w:space="0" w:color="auto"/>
        <w:left w:val="none" w:sz="0" w:space="0" w:color="auto"/>
        <w:bottom w:val="none" w:sz="0" w:space="0" w:color="auto"/>
        <w:right w:val="none" w:sz="0" w:space="0" w:color="auto"/>
      </w:divBdr>
    </w:div>
    <w:div w:id="870842525">
      <w:bodyDiv w:val="1"/>
      <w:marLeft w:val="0"/>
      <w:marRight w:val="0"/>
      <w:marTop w:val="0"/>
      <w:marBottom w:val="0"/>
      <w:divBdr>
        <w:top w:val="none" w:sz="0" w:space="0" w:color="auto"/>
        <w:left w:val="none" w:sz="0" w:space="0" w:color="auto"/>
        <w:bottom w:val="none" w:sz="0" w:space="0" w:color="auto"/>
        <w:right w:val="none" w:sz="0" w:space="0" w:color="auto"/>
      </w:divBdr>
    </w:div>
    <w:div w:id="872379043">
      <w:bodyDiv w:val="1"/>
      <w:marLeft w:val="0"/>
      <w:marRight w:val="0"/>
      <w:marTop w:val="0"/>
      <w:marBottom w:val="0"/>
      <w:divBdr>
        <w:top w:val="none" w:sz="0" w:space="0" w:color="auto"/>
        <w:left w:val="none" w:sz="0" w:space="0" w:color="auto"/>
        <w:bottom w:val="none" w:sz="0" w:space="0" w:color="auto"/>
        <w:right w:val="none" w:sz="0" w:space="0" w:color="auto"/>
      </w:divBdr>
    </w:div>
    <w:div w:id="876163629">
      <w:bodyDiv w:val="1"/>
      <w:marLeft w:val="0"/>
      <w:marRight w:val="0"/>
      <w:marTop w:val="0"/>
      <w:marBottom w:val="0"/>
      <w:divBdr>
        <w:top w:val="none" w:sz="0" w:space="0" w:color="auto"/>
        <w:left w:val="none" w:sz="0" w:space="0" w:color="auto"/>
        <w:bottom w:val="none" w:sz="0" w:space="0" w:color="auto"/>
        <w:right w:val="none" w:sz="0" w:space="0" w:color="auto"/>
      </w:divBdr>
    </w:div>
    <w:div w:id="893278891">
      <w:bodyDiv w:val="1"/>
      <w:marLeft w:val="0"/>
      <w:marRight w:val="0"/>
      <w:marTop w:val="0"/>
      <w:marBottom w:val="0"/>
      <w:divBdr>
        <w:top w:val="none" w:sz="0" w:space="0" w:color="auto"/>
        <w:left w:val="none" w:sz="0" w:space="0" w:color="auto"/>
        <w:bottom w:val="none" w:sz="0" w:space="0" w:color="auto"/>
        <w:right w:val="none" w:sz="0" w:space="0" w:color="auto"/>
      </w:divBdr>
    </w:div>
    <w:div w:id="895511628">
      <w:bodyDiv w:val="1"/>
      <w:marLeft w:val="0"/>
      <w:marRight w:val="0"/>
      <w:marTop w:val="0"/>
      <w:marBottom w:val="0"/>
      <w:divBdr>
        <w:top w:val="none" w:sz="0" w:space="0" w:color="auto"/>
        <w:left w:val="none" w:sz="0" w:space="0" w:color="auto"/>
        <w:bottom w:val="none" w:sz="0" w:space="0" w:color="auto"/>
        <w:right w:val="none" w:sz="0" w:space="0" w:color="auto"/>
      </w:divBdr>
    </w:div>
    <w:div w:id="897932396">
      <w:bodyDiv w:val="1"/>
      <w:marLeft w:val="0"/>
      <w:marRight w:val="0"/>
      <w:marTop w:val="0"/>
      <w:marBottom w:val="0"/>
      <w:divBdr>
        <w:top w:val="none" w:sz="0" w:space="0" w:color="auto"/>
        <w:left w:val="none" w:sz="0" w:space="0" w:color="auto"/>
        <w:bottom w:val="none" w:sz="0" w:space="0" w:color="auto"/>
        <w:right w:val="none" w:sz="0" w:space="0" w:color="auto"/>
      </w:divBdr>
    </w:div>
    <w:div w:id="903566299">
      <w:bodyDiv w:val="1"/>
      <w:marLeft w:val="0"/>
      <w:marRight w:val="0"/>
      <w:marTop w:val="0"/>
      <w:marBottom w:val="0"/>
      <w:divBdr>
        <w:top w:val="none" w:sz="0" w:space="0" w:color="auto"/>
        <w:left w:val="none" w:sz="0" w:space="0" w:color="auto"/>
        <w:bottom w:val="none" w:sz="0" w:space="0" w:color="auto"/>
        <w:right w:val="none" w:sz="0" w:space="0" w:color="auto"/>
      </w:divBdr>
    </w:div>
    <w:div w:id="905530518">
      <w:bodyDiv w:val="1"/>
      <w:marLeft w:val="0"/>
      <w:marRight w:val="0"/>
      <w:marTop w:val="0"/>
      <w:marBottom w:val="0"/>
      <w:divBdr>
        <w:top w:val="none" w:sz="0" w:space="0" w:color="auto"/>
        <w:left w:val="none" w:sz="0" w:space="0" w:color="auto"/>
        <w:bottom w:val="none" w:sz="0" w:space="0" w:color="auto"/>
        <w:right w:val="none" w:sz="0" w:space="0" w:color="auto"/>
      </w:divBdr>
    </w:div>
    <w:div w:id="905803398">
      <w:bodyDiv w:val="1"/>
      <w:marLeft w:val="0"/>
      <w:marRight w:val="0"/>
      <w:marTop w:val="0"/>
      <w:marBottom w:val="0"/>
      <w:divBdr>
        <w:top w:val="none" w:sz="0" w:space="0" w:color="auto"/>
        <w:left w:val="none" w:sz="0" w:space="0" w:color="auto"/>
        <w:bottom w:val="none" w:sz="0" w:space="0" w:color="auto"/>
        <w:right w:val="none" w:sz="0" w:space="0" w:color="auto"/>
      </w:divBdr>
    </w:div>
    <w:div w:id="912861501">
      <w:bodyDiv w:val="1"/>
      <w:marLeft w:val="0"/>
      <w:marRight w:val="0"/>
      <w:marTop w:val="0"/>
      <w:marBottom w:val="0"/>
      <w:divBdr>
        <w:top w:val="none" w:sz="0" w:space="0" w:color="auto"/>
        <w:left w:val="none" w:sz="0" w:space="0" w:color="auto"/>
        <w:bottom w:val="none" w:sz="0" w:space="0" w:color="auto"/>
        <w:right w:val="none" w:sz="0" w:space="0" w:color="auto"/>
      </w:divBdr>
    </w:div>
    <w:div w:id="920412543">
      <w:bodyDiv w:val="1"/>
      <w:marLeft w:val="0"/>
      <w:marRight w:val="0"/>
      <w:marTop w:val="0"/>
      <w:marBottom w:val="0"/>
      <w:divBdr>
        <w:top w:val="none" w:sz="0" w:space="0" w:color="auto"/>
        <w:left w:val="none" w:sz="0" w:space="0" w:color="auto"/>
        <w:bottom w:val="none" w:sz="0" w:space="0" w:color="auto"/>
        <w:right w:val="none" w:sz="0" w:space="0" w:color="auto"/>
      </w:divBdr>
    </w:div>
    <w:div w:id="929772572">
      <w:bodyDiv w:val="1"/>
      <w:marLeft w:val="0"/>
      <w:marRight w:val="0"/>
      <w:marTop w:val="0"/>
      <w:marBottom w:val="0"/>
      <w:divBdr>
        <w:top w:val="none" w:sz="0" w:space="0" w:color="auto"/>
        <w:left w:val="none" w:sz="0" w:space="0" w:color="auto"/>
        <w:bottom w:val="none" w:sz="0" w:space="0" w:color="auto"/>
        <w:right w:val="none" w:sz="0" w:space="0" w:color="auto"/>
      </w:divBdr>
    </w:div>
    <w:div w:id="944189751">
      <w:bodyDiv w:val="1"/>
      <w:marLeft w:val="0"/>
      <w:marRight w:val="0"/>
      <w:marTop w:val="0"/>
      <w:marBottom w:val="0"/>
      <w:divBdr>
        <w:top w:val="none" w:sz="0" w:space="0" w:color="auto"/>
        <w:left w:val="none" w:sz="0" w:space="0" w:color="auto"/>
        <w:bottom w:val="none" w:sz="0" w:space="0" w:color="auto"/>
        <w:right w:val="none" w:sz="0" w:space="0" w:color="auto"/>
      </w:divBdr>
    </w:div>
    <w:div w:id="951596677">
      <w:bodyDiv w:val="1"/>
      <w:marLeft w:val="0"/>
      <w:marRight w:val="0"/>
      <w:marTop w:val="0"/>
      <w:marBottom w:val="0"/>
      <w:divBdr>
        <w:top w:val="none" w:sz="0" w:space="0" w:color="auto"/>
        <w:left w:val="none" w:sz="0" w:space="0" w:color="auto"/>
        <w:bottom w:val="none" w:sz="0" w:space="0" w:color="auto"/>
        <w:right w:val="none" w:sz="0" w:space="0" w:color="auto"/>
      </w:divBdr>
    </w:div>
    <w:div w:id="957682941">
      <w:bodyDiv w:val="1"/>
      <w:marLeft w:val="0"/>
      <w:marRight w:val="0"/>
      <w:marTop w:val="0"/>
      <w:marBottom w:val="0"/>
      <w:divBdr>
        <w:top w:val="none" w:sz="0" w:space="0" w:color="auto"/>
        <w:left w:val="none" w:sz="0" w:space="0" w:color="auto"/>
        <w:bottom w:val="none" w:sz="0" w:space="0" w:color="auto"/>
        <w:right w:val="none" w:sz="0" w:space="0" w:color="auto"/>
      </w:divBdr>
    </w:div>
    <w:div w:id="957684015">
      <w:bodyDiv w:val="1"/>
      <w:marLeft w:val="0"/>
      <w:marRight w:val="0"/>
      <w:marTop w:val="0"/>
      <w:marBottom w:val="0"/>
      <w:divBdr>
        <w:top w:val="none" w:sz="0" w:space="0" w:color="auto"/>
        <w:left w:val="none" w:sz="0" w:space="0" w:color="auto"/>
        <w:bottom w:val="none" w:sz="0" w:space="0" w:color="auto"/>
        <w:right w:val="none" w:sz="0" w:space="0" w:color="auto"/>
      </w:divBdr>
    </w:div>
    <w:div w:id="962544153">
      <w:bodyDiv w:val="1"/>
      <w:marLeft w:val="0"/>
      <w:marRight w:val="0"/>
      <w:marTop w:val="0"/>
      <w:marBottom w:val="0"/>
      <w:divBdr>
        <w:top w:val="none" w:sz="0" w:space="0" w:color="auto"/>
        <w:left w:val="none" w:sz="0" w:space="0" w:color="auto"/>
        <w:bottom w:val="none" w:sz="0" w:space="0" w:color="auto"/>
        <w:right w:val="none" w:sz="0" w:space="0" w:color="auto"/>
      </w:divBdr>
    </w:div>
    <w:div w:id="963733833">
      <w:bodyDiv w:val="1"/>
      <w:marLeft w:val="0"/>
      <w:marRight w:val="0"/>
      <w:marTop w:val="0"/>
      <w:marBottom w:val="0"/>
      <w:divBdr>
        <w:top w:val="none" w:sz="0" w:space="0" w:color="auto"/>
        <w:left w:val="none" w:sz="0" w:space="0" w:color="auto"/>
        <w:bottom w:val="none" w:sz="0" w:space="0" w:color="auto"/>
        <w:right w:val="none" w:sz="0" w:space="0" w:color="auto"/>
      </w:divBdr>
    </w:div>
    <w:div w:id="965353968">
      <w:bodyDiv w:val="1"/>
      <w:marLeft w:val="0"/>
      <w:marRight w:val="0"/>
      <w:marTop w:val="0"/>
      <w:marBottom w:val="0"/>
      <w:divBdr>
        <w:top w:val="none" w:sz="0" w:space="0" w:color="auto"/>
        <w:left w:val="none" w:sz="0" w:space="0" w:color="auto"/>
        <w:bottom w:val="none" w:sz="0" w:space="0" w:color="auto"/>
        <w:right w:val="none" w:sz="0" w:space="0" w:color="auto"/>
      </w:divBdr>
    </w:div>
    <w:div w:id="972949295">
      <w:bodyDiv w:val="1"/>
      <w:marLeft w:val="0"/>
      <w:marRight w:val="0"/>
      <w:marTop w:val="0"/>
      <w:marBottom w:val="0"/>
      <w:divBdr>
        <w:top w:val="none" w:sz="0" w:space="0" w:color="auto"/>
        <w:left w:val="none" w:sz="0" w:space="0" w:color="auto"/>
        <w:bottom w:val="none" w:sz="0" w:space="0" w:color="auto"/>
        <w:right w:val="none" w:sz="0" w:space="0" w:color="auto"/>
      </w:divBdr>
    </w:div>
    <w:div w:id="977344596">
      <w:bodyDiv w:val="1"/>
      <w:marLeft w:val="0"/>
      <w:marRight w:val="0"/>
      <w:marTop w:val="0"/>
      <w:marBottom w:val="0"/>
      <w:divBdr>
        <w:top w:val="none" w:sz="0" w:space="0" w:color="auto"/>
        <w:left w:val="none" w:sz="0" w:space="0" w:color="auto"/>
        <w:bottom w:val="none" w:sz="0" w:space="0" w:color="auto"/>
        <w:right w:val="none" w:sz="0" w:space="0" w:color="auto"/>
      </w:divBdr>
    </w:div>
    <w:div w:id="977489027">
      <w:bodyDiv w:val="1"/>
      <w:marLeft w:val="0"/>
      <w:marRight w:val="0"/>
      <w:marTop w:val="0"/>
      <w:marBottom w:val="0"/>
      <w:divBdr>
        <w:top w:val="none" w:sz="0" w:space="0" w:color="auto"/>
        <w:left w:val="none" w:sz="0" w:space="0" w:color="auto"/>
        <w:bottom w:val="none" w:sz="0" w:space="0" w:color="auto"/>
        <w:right w:val="none" w:sz="0" w:space="0" w:color="auto"/>
      </w:divBdr>
    </w:div>
    <w:div w:id="978000386">
      <w:bodyDiv w:val="1"/>
      <w:marLeft w:val="0"/>
      <w:marRight w:val="0"/>
      <w:marTop w:val="0"/>
      <w:marBottom w:val="0"/>
      <w:divBdr>
        <w:top w:val="none" w:sz="0" w:space="0" w:color="auto"/>
        <w:left w:val="none" w:sz="0" w:space="0" w:color="auto"/>
        <w:bottom w:val="none" w:sz="0" w:space="0" w:color="auto"/>
        <w:right w:val="none" w:sz="0" w:space="0" w:color="auto"/>
      </w:divBdr>
    </w:div>
    <w:div w:id="991133391">
      <w:bodyDiv w:val="1"/>
      <w:marLeft w:val="0"/>
      <w:marRight w:val="0"/>
      <w:marTop w:val="0"/>
      <w:marBottom w:val="0"/>
      <w:divBdr>
        <w:top w:val="none" w:sz="0" w:space="0" w:color="auto"/>
        <w:left w:val="none" w:sz="0" w:space="0" w:color="auto"/>
        <w:bottom w:val="none" w:sz="0" w:space="0" w:color="auto"/>
        <w:right w:val="none" w:sz="0" w:space="0" w:color="auto"/>
      </w:divBdr>
    </w:div>
    <w:div w:id="991835832">
      <w:bodyDiv w:val="1"/>
      <w:marLeft w:val="0"/>
      <w:marRight w:val="0"/>
      <w:marTop w:val="0"/>
      <w:marBottom w:val="0"/>
      <w:divBdr>
        <w:top w:val="none" w:sz="0" w:space="0" w:color="auto"/>
        <w:left w:val="none" w:sz="0" w:space="0" w:color="auto"/>
        <w:bottom w:val="none" w:sz="0" w:space="0" w:color="auto"/>
        <w:right w:val="none" w:sz="0" w:space="0" w:color="auto"/>
      </w:divBdr>
    </w:div>
    <w:div w:id="992294458">
      <w:bodyDiv w:val="1"/>
      <w:marLeft w:val="0"/>
      <w:marRight w:val="0"/>
      <w:marTop w:val="0"/>
      <w:marBottom w:val="0"/>
      <w:divBdr>
        <w:top w:val="none" w:sz="0" w:space="0" w:color="auto"/>
        <w:left w:val="none" w:sz="0" w:space="0" w:color="auto"/>
        <w:bottom w:val="none" w:sz="0" w:space="0" w:color="auto"/>
        <w:right w:val="none" w:sz="0" w:space="0" w:color="auto"/>
      </w:divBdr>
    </w:div>
    <w:div w:id="993222583">
      <w:bodyDiv w:val="1"/>
      <w:marLeft w:val="0"/>
      <w:marRight w:val="0"/>
      <w:marTop w:val="0"/>
      <w:marBottom w:val="0"/>
      <w:divBdr>
        <w:top w:val="none" w:sz="0" w:space="0" w:color="auto"/>
        <w:left w:val="none" w:sz="0" w:space="0" w:color="auto"/>
        <w:bottom w:val="none" w:sz="0" w:space="0" w:color="auto"/>
        <w:right w:val="none" w:sz="0" w:space="0" w:color="auto"/>
      </w:divBdr>
    </w:div>
    <w:div w:id="997265437">
      <w:bodyDiv w:val="1"/>
      <w:marLeft w:val="0"/>
      <w:marRight w:val="0"/>
      <w:marTop w:val="0"/>
      <w:marBottom w:val="0"/>
      <w:divBdr>
        <w:top w:val="none" w:sz="0" w:space="0" w:color="auto"/>
        <w:left w:val="none" w:sz="0" w:space="0" w:color="auto"/>
        <w:bottom w:val="none" w:sz="0" w:space="0" w:color="auto"/>
        <w:right w:val="none" w:sz="0" w:space="0" w:color="auto"/>
      </w:divBdr>
    </w:div>
    <w:div w:id="998313587">
      <w:bodyDiv w:val="1"/>
      <w:marLeft w:val="0"/>
      <w:marRight w:val="0"/>
      <w:marTop w:val="0"/>
      <w:marBottom w:val="0"/>
      <w:divBdr>
        <w:top w:val="none" w:sz="0" w:space="0" w:color="auto"/>
        <w:left w:val="none" w:sz="0" w:space="0" w:color="auto"/>
        <w:bottom w:val="none" w:sz="0" w:space="0" w:color="auto"/>
        <w:right w:val="none" w:sz="0" w:space="0" w:color="auto"/>
      </w:divBdr>
    </w:div>
    <w:div w:id="999700034">
      <w:bodyDiv w:val="1"/>
      <w:marLeft w:val="0"/>
      <w:marRight w:val="0"/>
      <w:marTop w:val="0"/>
      <w:marBottom w:val="0"/>
      <w:divBdr>
        <w:top w:val="none" w:sz="0" w:space="0" w:color="auto"/>
        <w:left w:val="none" w:sz="0" w:space="0" w:color="auto"/>
        <w:bottom w:val="none" w:sz="0" w:space="0" w:color="auto"/>
        <w:right w:val="none" w:sz="0" w:space="0" w:color="auto"/>
      </w:divBdr>
    </w:div>
    <w:div w:id="1000085277">
      <w:bodyDiv w:val="1"/>
      <w:marLeft w:val="0"/>
      <w:marRight w:val="0"/>
      <w:marTop w:val="0"/>
      <w:marBottom w:val="0"/>
      <w:divBdr>
        <w:top w:val="none" w:sz="0" w:space="0" w:color="auto"/>
        <w:left w:val="none" w:sz="0" w:space="0" w:color="auto"/>
        <w:bottom w:val="none" w:sz="0" w:space="0" w:color="auto"/>
        <w:right w:val="none" w:sz="0" w:space="0" w:color="auto"/>
      </w:divBdr>
    </w:div>
    <w:div w:id="1002661710">
      <w:bodyDiv w:val="1"/>
      <w:marLeft w:val="0"/>
      <w:marRight w:val="0"/>
      <w:marTop w:val="0"/>
      <w:marBottom w:val="0"/>
      <w:divBdr>
        <w:top w:val="none" w:sz="0" w:space="0" w:color="auto"/>
        <w:left w:val="none" w:sz="0" w:space="0" w:color="auto"/>
        <w:bottom w:val="none" w:sz="0" w:space="0" w:color="auto"/>
        <w:right w:val="none" w:sz="0" w:space="0" w:color="auto"/>
      </w:divBdr>
    </w:div>
    <w:div w:id="1003822992">
      <w:bodyDiv w:val="1"/>
      <w:marLeft w:val="0"/>
      <w:marRight w:val="0"/>
      <w:marTop w:val="0"/>
      <w:marBottom w:val="0"/>
      <w:divBdr>
        <w:top w:val="none" w:sz="0" w:space="0" w:color="auto"/>
        <w:left w:val="none" w:sz="0" w:space="0" w:color="auto"/>
        <w:bottom w:val="none" w:sz="0" w:space="0" w:color="auto"/>
        <w:right w:val="none" w:sz="0" w:space="0" w:color="auto"/>
      </w:divBdr>
    </w:div>
    <w:div w:id="1009287102">
      <w:bodyDiv w:val="1"/>
      <w:marLeft w:val="0"/>
      <w:marRight w:val="0"/>
      <w:marTop w:val="0"/>
      <w:marBottom w:val="0"/>
      <w:divBdr>
        <w:top w:val="none" w:sz="0" w:space="0" w:color="auto"/>
        <w:left w:val="none" w:sz="0" w:space="0" w:color="auto"/>
        <w:bottom w:val="none" w:sz="0" w:space="0" w:color="auto"/>
        <w:right w:val="none" w:sz="0" w:space="0" w:color="auto"/>
      </w:divBdr>
    </w:div>
    <w:div w:id="1011024813">
      <w:bodyDiv w:val="1"/>
      <w:marLeft w:val="0"/>
      <w:marRight w:val="0"/>
      <w:marTop w:val="0"/>
      <w:marBottom w:val="0"/>
      <w:divBdr>
        <w:top w:val="none" w:sz="0" w:space="0" w:color="auto"/>
        <w:left w:val="none" w:sz="0" w:space="0" w:color="auto"/>
        <w:bottom w:val="none" w:sz="0" w:space="0" w:color="auto"/>
        <w:right w:val="none" w:sz="0" w:space="0" w:color="auto"/>
      </w:divBdr>
    </w:div>
    <w:div w:id="1016536042">
      <w:bodyDiv w:val="1"/>
      <w:marLeft w:val="0"/>
      <w:marRight w:val="0"/>
      <w:marTop w:val="0"/>
      <w:marBottom w:val="0"/>
      <w:divBdr>
        <w:top w:val="none" w:sz="0" w:space="0" w:color="auto"/>
        <w:left w:val="none" w:sz="0" w:space="0" w:color="auto"/>
        <w:bottom w:val="none" w:sz="0" w:space="0" w:color="auto"/>
        <w:right w:val="none" w:sz="0" w:space="0" w:color="auto"/>
      </w:divBdr>
    </w:div>
    <w:div w:id="1018851805">
      <w:bodyDiv w:val="1"/>
      <w:marLeft w:val="0"/>
      <w:marRight w:val="0"/>
      <w:marTop w:val="0"/>
      <w:marBottom w:val="0"/>
      <w:divBdr>
        <w:top w:val="none" w:sz="0" w:space="0" w:color="auto"/>
        <w:left w:val="none" w:sz="0" w:space="0" w:color="auto"/>
        <w:bottom w:val="none" w:sz="0" w:space="0" w:color="auto"/>
        <w:right w:val="none" w:sz="0" w:space="0" w:color="auto"/>
      </w:divBdr>
    </w:div>
    <w:div w:id="1020355618">
      <w:bodyDiv w:val="1"/>
      <w:marLeft w:val="0"/>
      <w:marRight w:val="0"/>
      <w:marTop w:val="0"/>
      <w:marBottom w:val="0"/>
      <w:divBdr>
        <w:top w:val="none" w:sz="0" w:space="0" w:color="auto"/>
        <w:left w:val="none" w:sz="0" w:space="0" w:color="auto"/>
        <w:bottom w:val="none" w:sz="0" w:space="0" w:color="auto"/>
        <w:right w:val="none" w:sz="0" w:space="0" w:color="auto"/>
      </w:divBdr>
    </w:div>
    <w:div w:id="1028339228">
      <w:bodyDiv w:val="1"/>
      <w:marLeft w:val="0"/>
      <w:marRight w:val="0"/>
      <w:marTop w:val="0"/>
      <w:marBottom w:val="0"/>
      <w:divBdr>
        <w:top w:val="none" w:sz="0" w:space="0" w:color="auto"/>
        <w:left w:val="none" w:sz="0" w:space="0" w:color="auto"/>
        <w:bottom w:val="none" w:sz="0" w:space="0" w:color="auto"/>
        <w:right w:val="none" w:sz="0" w:space="0" w:color="auto"/>
      </w:divBdr>
    </w:div>
    <w:div w:id="1037044127">
      <w:bodyDiv w:val="1"/>
      <w:marLeft w:val="0"/>
      <w:marRight w:val="0"/>
      <w:marTop w:val="0"/>
      <w:marBottom w:val="0"/>
      <w:divBdr>
        <w:top w:val="none" w:sz="0" w:space="0" w:color="auto"/>
        <w:left w:val="none" w:sz="0" w:space="0" w:color="auto"/>
        <w:bottom w:val="none" w:sz="0" w:space="0" w:color="auto"/>
        <w:right w:val="none" w:sz="0" w:space="0" w:color="auto"/>
      </w:divBdr>
    </w:div>
    <w:div w:id="1037245171">
      <w:bodyDiv w:val="1"/>
      <w:marLeft w:val="0"/>
      <w:marRight w:val="0"/>
      <w:marTop w:val="0"/>
      <w:marBottom w:val="0"/>
      <w:divBdr>
        <w:top w:val="none" w:sz="0" w:space="0" w:color="auto"/>
        <w:left w:val="none" w:sz="0" w:space="0" w:color="auto"/>
        <w:bottom w:val="none" w:sz="0" w:space="0" w:color="auto"/>
        <w:right w:val="none" w:sz="0" w:space="0" w:color="auto"/>
      </w:divBdr>
    </w:div>
    <w:div w:id="1045104758">
      <w:bodyDiv w:val="1"/>
      <w:marLeft w:val="0"/>
      <w:marRight w:val="0"/>
      <w:marTop w:val="0"/>
      <w:marBottom w:val="0"/>
      <w:divBdr>
        <w:top w:val="none" w:sz="0" w:space="0" w:color="auto"/>
        <w:left w:val="none" w:sz="0" w:space="0" w:color="auto"/>
        <w:bottom w:val="none" w:sz="0" w:space="0" w:color="auto"/>
        <w:right w:val="none" w:sz="0" w:space="0" w:color="auto"/>
      </w:divBdr>
    </w:div>
    <w:div w:id="1045174514">
      <w:bodyDiv w:val="1"/>
      <w:marLeft w:val="0"/>
      <w:marRight w:val="0"/>
      <w:marTop w:val="0"/>
      <w:marBottom w:val="0"/>
      <w:divBdr>
        <w:top w:val="none" w:sz="0" w:space="0" w:color="auto"/>
        <w:left w:val="none" w:sz="0" w:space="0" w:color="auto"/>
        <w:bottom w:val="none" w:sz="0" w:space="0" w:color="auto"/>
        <w:right w:val="none" w:sz="0" w:space="0" w:color="auto"/>
      </w:divBdr>
    </w:div>
    <w:div w:id="1046217520">
      <w:bodyDiv w:val="1"/>
      <w:marLeft w:val="0"/>
      <w:marRight w:val="0"/>
      <w:marTop w:val="0"/>
      <w:marBottom w:val="0"/>
      <w:divBdr>
        <w:top w:val="none" w:sz="0" w:space="0" w:color="auto"/>
        <w:left w:val="none" w:sz="0" w:space="0" w:color="auto"/>
        <w:bottom w:val="none" w:sz="0" w:space="0" w:color="auto"/>
        <w:right w:val="none" w:sz="0" w:space="0" w:color="auto"/>
      </w:divBdr>
    </w:div>
    <w:div w:id="1048258119">
      <w:bodyDiv w:val="1"/>
      <w:marLeft w:val="0"/>
      <w:marRight w:val="0"/>
      <w:marTop w:val="0"/>
      <w:marBottom w:val="0"/>
      <w:divBdr>
        <w:top w:val="none" w:sz="0" w:space="0" w:color="auto"/>
        <w:left w:val="none" w:sz="0" w:space="0" w:color="auto"/>
        <w:bottom w:val="none" w:sz="0" w:space="0" w:color="auto"/>
        <w:right w:val="none" w:sz="0" w:space="0" w:color="auto"/>
      </w:divBdr>
    </w:div>
    <w:div w:id="1056930568">
      <w:bodyDiv w:val="1"/>
      <w:marLeft w:val="0"/>
      <w:marRight w:val="0"/>
      <w:marTop w:val="0"/>
      <w:marBottom w:val="0"/>
      <w:divBdr>
        <w:top w:val="none" w:sz="0" w:space="0" w:color="auto"/>
        <w:left w:val="none" w:sz="0" w:space="0" w:color="auto"/>
        <w:bottom w:val="none" w:sz="0" w:space="0" w:color="auto"/>
        <w:right w:val="none" w:sz="0" w:space="0" w:color="auto"/>
      </w:divBdr>
    </w:div>
    <w:div w:id="1057826996">
      <w:bodyDiv w:val="1"/>
      <w:marLeft w:val="0"/>
      <w:marRight w:val="0"/>
      <w:marTop w:val="0"/>
      <w:marBottom w:val="0"/>
      <w:divBdr>
        <w:top w:val="none" w:sz="0" w:space="0" w:color="auto"/>
        <w:left w:val="none" w:sz="0" w:space="0" w:color="auto"/>
        <w:bottom w:val="none" w:sz="0" w:space="0" w:color="auto"/>
        <w:right w:val="none" w:sz="0" w:space="0" w:color="auto"/>
      </w:divBdr>
    </w:div>
    <w:div w:id="1061253202">
      <w:bodyDiv w:val="1"/>
      <w:marLeft w:val="0"/>
      <w:marRight w:val="0"/>
      <w:marTop w:val="0"/>
      <w:marBottom w:val="0"/>
      <w:divBdr>
        <w:top w:val="none" w:sz="0" w:space="0" w:color="auto"/>
        <w:left w:val="none" w:sz="0" w:space="0" w:color="auto"/>
        <w:bottom w:val="none" w:sz="0" w:space="0" w:color="auto"/>
        <w:right w:val="none" w:sz="0" w:space="0" w:color="auto"/>
      </w:divBdr>
    </w:div>
    <w:div w:id="1073813488">
      <w:bodyDiv w:val="1"/>
      <w:marLeft w:val="0"/>
      <w:marRight w:val="0"/>
      <w:marTop w:val="0"/>
      <w:marBottom w:val="0"/>
      <w:divBdr>
        <w:top w:val="none" w:sz="0" w:space="0" w:color="auto"/>
        <w:left w:val="none" w:sz="0" w:space="0" w:color="auto"/>
        <w:bottom w:val="none" w:sz="0" w:space="0" w:color="auto"/>
        <w:right w:val="none" w:sz="0" w:space="0" w:color="auto"/>
      </w:divBdr>
    </w:div>
    <w:div w:id="1080715172">
      <w:bodyDiv w:val="1"/>
      <w:marLeft w:val="0"/>
      <w:marRight w:val="0"/>
      <w:marTop w:val="0"/>
      <w:marBottom w:val="0"/>
      <w:divBdr>
        <w:top w:val="none" w:sz="0" w:space="0" w:color="auto"/>
        <w:left w:val="none" w:sz="0" w:space="0" w:color="auto"/>
        <w:bottom w:val="none" w:sz="0" w:space="0" w:color="auto"/>
        <w:right w:val="none" w:sz="0" w:space="0" w:color="auto"/>
      </w:divBdr>
    </w:div>
    <w:div w:id="1084455603">
      <w:bodyDiv w:val="1"/>
      <w:marLeft w:val="0"/>
      <w:marRight w:val="0"/>
      <w:marTop w:val="0"/>
      <w:marBottom w:val="0"/>
      <w:divBdr>
        <w:top w:val="none" w:sz="0" w:space="0" w:color="auto"/>
        <w:left w:val="none" w:sz="0" w:space="0" w:color="auto"/>
        <w:bottom w:val="none" w:sz="0" w:space="0" w:color="auto"/>
        <w:right w:val="none" w:sz="0" w:space="0" w:color="auto"/>
      </w:divBdr>
    </w:div>
    <w:div w:id="1086416453">
      <w:bodyDiv w:val="1"/>
      <w:marLeft w:val="0"/>
      <w:marRight w:val="0"/>
      <w:marTop w:val="0"/>
      <w:marBottom w:val="0"/>
      <w:divBdr>
        <w:top w:val="none" w:sz="0" w:space="0" w:color="auto"/>
        <w:left w:val="none" w:sz="0" w:space="0" w:color="auto"/>
        <w:bottom w:val="none" w:sz="0" w:space="0" w:color="auto"/>
        <w:right w:val="none" w:sz="0" w:space="0" w:color="auto"/>
      </w:divBdr>
    </w:div>
    <w:div w:id="1093627948">
      <w:bodyDiv w:val="1"/>
      <w:marLeft w:val="0"/>
      <w:marRight w:val="0"/>
      <w:marTop w:val="0"/>
      <w:marBottom w:val="0"/>
      <w:divBdr>
        <w:top w:val="none" w:sz="0" w:space="0" w:color="auto"/>
        <w:left w:val="none" w:sz="0" w:space="0" w:color="auto"/>
        <w:bottom w:val="none" w:sz="0" w:space="0" w:color="auto"/>
        <w:right w:val="none" w:sz="0" w:space="0" w:color="auto"/>
      </w:divBdr>
    </w:div>
    <w:div w:id="1098788420">
      <w:bodyDiv w:val="1"/>
      <w:marLeft w:val="0"/>
      <w:marRight w:val="0"/>
      <w:marTop w:val="0"/>
      <w:marBottom w:val="0"/>
      <w:divBdr>
        <w:top w:val="none" w:sz="0" w:space="0" w:color="auto"/>
        <w:left w:val="none" w:sz="0" w:space="0" w:color="auto"/>
        <w:bottom w:val="none" w:sz="0" w:space="0" w:color="auto"/>
        <w:right w:val="none" w:sz="0" w:space="0" w:color="auto"/>
      </w:divBdr>
    </w:div>
    <w:div w:id="1103040378">
      <w:bodyDiv w:val="1"/>
      <w:marLeft w:val="0"/>
      <w:marRight w:val="0"/>
      <w:marTop w:val="0"/>
      <w:marBottom w:val="0"/>
      <w:divBdr>
        <w:top w:val="none" w:sz="0" w:space="0" w:color="auto"/>
        <w:left w:val="none" w:sz="0" w:space="0" w:color="auto"/>
        <w:bottom w:val="none" w:sz="0" w:space="0" w:color="auto"/>
        <w:right w:val="none" w:sz="0" w:space="0" w:color="auto"/>
      </w:divBdr>
    </w:div>
    <w:div w:id="1104836493">
      <w:bodyDiv w:val="1"/>
      <w:marLeft w:val="0"/>
      <w:marRight w:val="0"/>
      <w:marTop w:val="0"/>
      <w:marBottom w:val="0"/>
      <w:divBdr>
        <w:top w:val="none" w:sz="0" w:space="0" w:color="auto"/>
        <w:left w:val="none" w:sz="0" w:space="0" w:color="auto"/>
        <w:bottom w:val="none" w:sz="0" w:space="0" w:color="auto"/>
        <w:right w:val="none" w:sz="0" w:space="0" w:color="auto"/>
      </w:divBdr>
    </w:div>
    <w:div w:id="1109541215">
      <w:bodyDiv w:val="1"/>
      <w:marLeft w:val="0"/>
      <w:marRight w:val="0"/>
      <w:marTop w:val="0"/>
      <w:marBottom w:val="0"/>
      <w:divBdr>
        <w:top w:val="none" w:sz="0" w:space="0" w:color="auto"/>
        <w:left w:val="none" w:sz="0" w:space="0" w:color="auto"/>
        <w:bottom w:val="none" w:sz="0" w:space="0" w:color="auto"/>
        <w:right w:val="none" w:sz="0" w:space="0" w:color="auto"/>
      </w:divBdr>
    </w:div>
    <w:div w:id="1111626032">
      <w:bodyDiv w:val="1"/>
      <w:marLeft w:val="0"/>
      <w:marRight w:val="0"/>
      <w:marTop w:val="0"/>
      <w:marBottom w:val="0"/>
      <w:divBdr>
        <w:top w:val="none" w:sz="0" w:space="0" w:color="auto"/>
        <w:left w:val="none" w:sz="0" w:space="0" w:color="auto"/>
        <w:bottom w:val="none" w:sz="0" w:space="0" w:color="auto"/>
        <w:right w:val="none" w:sz="0" w:space="0" w:color="auto"/>
      </w:divBdr>
    </w:div>
    <w:div w:id="1112434168">
      <w:bodyDiv w:val="1"/>
      <w:marLeft w:val="0"/>
      <w:marRight w:val="0"/>
      <w:marTop w:val="0"/>
      <w:marBottom w:val="0"/>
      <w:divBdr>
        <w:top w:val="none" w:sz="0" w:space="0" w:color="auto"/>
        <w:left w:val="none" w:sz="0" w:space="0" w:color="auto"/>
        <w:bottom w:val="none" w:sz="0" w:space="0" w:color="auto"/>
        <w:right w:val="none" w:sz="0" w:space="0" w:color="auto"/>
      </w:divBdr>
    </w:div>
    <w:div w:id="1115632029">
      <w:bodyDiv w:val="1"/>
      <w:marLeft w:val="0"/>
      <w:marRight w:val="0"/>
      <w:marTop w:val="0"/>
      <w:marBottom w:val="0"/>
      <w:divBdr>
        <w:top w:val="none" w:sz="0" w:space="0" w:color="auto"/>
        <w:left w:val="none" w:sz="0" w:space="0" w:color="auto"/>
        <w:bottom w:val="none" w:sz="0" w:space="0" w:color="auto"/>
        <w:right w:val="none" w:sz="0" w:space="0" w:color="auto"/>
      </w:divBdr>
    </w:div>
    <w:div w:id="1117288057">
      <w:bodyDiv w:val="1"/>
      <w:marLeft w:val="0"/>
      <w:marRight w:val="0"/>
      <w:marTop w:val="0"/>
      <w:marBottom w:val="0"/>
      <w:divBdr>
        <w:top w:val="none" w:sz="0" w:space="0" w:color="auto"/>
        <w:left w:val="none" w:sz="0" w:space="0" w:color="auto"/>
        <w:bottom w:val="none" w:sz="0" w:space="0" w:color="auto"/>
        <w:right w:val="none" w:sz="0" w:space="0" w:color="auto"/>
      </w:divBdr>
    </w:div>
    <w:div w:id="1118988934">
      <w:bodyDiv w:val="1"/>
      <w:marLeft w:val="0"/>
      <w:marRight w:val="0"/>
      <w:marTop w:val="0"/>
      <w:marBottom w:val="0"/>
      <w:divBdr>
        <w:top w:val="none" w:sz="0" w:space="0" w:color="auto"/>
        <w:left w:val="none" w:sz="0" w:space="0" w:color="auto"/>
        <w:bottom w:val="none" w:sz="0" w:space="0" w:color="auto"/>
        <w:right w:val="none" w:sz="0" w:space="0" w:color="auto"/>
      </w:divBdr>
    </w:div>
    <w:div w:id="1125807701">
      <w:bodyDiv w:val="1"/>
      <w:marLeft w:val="0"/>
      <w:marRight w:val="0"/>
      <w:marTop w:val="0"/>
      <w:marBottom w:val="0"/>
      <w:divBdr>
        <w:top w:val="none" w:sz="0" w:space="0" w:color="auto"/>
        <w:left w:val="none" w:sz="0" w:space="0" w:color="auto"/>
        <w:bottom w:val="none" w:sz="0" w:space="0" w:color="auto"/>
        <w:right w:val="none" w:sz="0" w:space="0" w:color="auto"/>
      </w:divBdr>
    </w:div>
    <w:div w:id="1126506652">
      <w:bodyDiv w:val="1"/>
      <w:marLeft w:val="0"/>
      <w:marRight w:val="0"/>
      <w:marTop w:val="0"/>
      <w:marBottom w:val="0"/>
      <w:divBdr>
        <w:top w:val="none" w:sz="0" w:space="0" w:color="auto"/>
        <w:left w:val="none" w:sz="0" w:space="0" w:color="auto"/>
        <w:bottom w:val="none" w:sz="0" w:space="0" w:color="auto"/>
        <w:right w:val="none" w:sz="0" w:space="0" w:color="auto"/>
      </w:divBdr>
    </w:div>
    <w:div w:id="1127236439">
      <w:bodyDiv w:val="1"/>
      <w:marLeft w:val="0"/>
      <w:marRight w:val="0"/>
      <w:marTop w:val="0"/>
      <w:marBottom w:val="0"/>
      <w:divBdr>
        <w:top w:val="none" w:sz="0" w:space="0" w:color="auto"/>
        <w:left w:val="none" w:sz="0" w:space="0" w:color="auto"/>
        <w:bottom w:val="none" w:sz="0" w:space="0" w:color="auto"/>
        <w:right w:val="none" w:sz="0" w:space="0" w:color="auto"/>
      </w:divBdr>
    </w:div>
    <w:div w:id="1129783704">
      <w:bodyDiv w:val="1"/>
      <w:marLeft w:val="0"/>
      <w:marRight w:val="0"/>
      <w:marTop w:val="0"/>
      <w:marBottom w:val="0"/>
      <w:divBdr>
        <w:top w:val="none" w:sz="0" w:space="0" w:color="auto"/>
        <w:left w:val="none" w:sz="0" w:space="0" w:color="auto"/>
        <w:bottom w:val="none" w:sz="0" w:space="0" w:color="auto"/>
        <w:right w:val="none" w:sz="0" w:space="0" w:color="auto"/>
      </w:divBdr>
    </w:div>
    <w:div w:id="1130636135">
      <w:bodyDiv w:val="1"/>
      <w:marLeft w:val="0"/>
      <w:marRight w:val="0"/>
      <w:marTop w:val="0"/>
      <w:marBottom w:val="0"/>
      <w:divBdr>
        <w:top w:val="none" w:sz="0" w:space="0" w:color="auto"/>
        <w:left w:val="none" w:sz="0" w:space="0" w:color="auto"/>
        <w:bottom w:val="none" w:sz="0" w:space="0" w:color="auto"/>
        <w:right w:val="none" w:sz="0" w:space="0" w:color="auto"/>
      </w:divBdr>
    </w:div>
    <w:div w:id="1130975087">
      <w:bodyDiv w:val="1"/>
      <w:marLeft w:val="0"/>
      <w:marRight w:val="0"/>
      <w:marTop w:val="0"/>
      <w:marBottom w:val="0"/>
      <w:divBdr>
        <w:top w:val="none" w:sz="0" w:space="0" w:color="auto"/>
        <w:left w:val="none" w:sz="0" w:space="0" w:color="auto"/>
        <w:bottom w:val="none" w:sz="0" w:space="0" w:color="auto"/>
        <w:right w:val="none" w:sz="0" w:space="0" w:color="auto"/>
      </w:divBdr>
    </w:div>
    <w:div w:id="1131944985">
      <w:bodyDiv w:val="1"/>
      <w:marLeft w:val="0"/>
      <w:marRight w:val="0"/>
      <w:marTop w:val="0"/>
      <w:marBottom w:val="0"/>
      <w:divBdr>
        <w:top w:val="none" w:sz="0" w:space="0" w:color="auto"/>
        <w:left w:val="none" w:sz="0" w:space="0" w:color="auto"/>
        <w:bottom w:val="none" w:sz="0" w:space="0" w:color="auto"/>
        <w:right w:val="none" w:sz="0" w:space="0" w:color="auto"/>
      </w:divBdr>
    </w:div>
    <w:div w:id="1136492110">
      <w:bodyDiv w:val="1"/>
      <w:marLeft w:val="0"/>
      <w:marRight w:val="0"/>
      <w:marTop w:val="0"/>
      <w:marBottom w:val="0"/>
      <w:divBdr>
        <w:top w:val="none" w:sz="0" w:space="0" w:color="auto"/>
        <w:left w:val="none" w:sz="0" w:space="0" w:color="auto"/>
        <w:bottom w:val="none" w:sz="0" w:space="0" w:color="auto"/>
        <w:right w:val="none" w:sz="0" w:space="0" w:color="auto"/>
      </w:divBdr>
    </w:div>
    <w:div w:id="1139110628">
      <w:bodyDiv w:val="1"/>
      <w:marLeft w:val="0"/>
      <w:marRight w:val="0"/>
      <w:marTop w:val="0"/>
      <w:marBottom w:val="0"/>
      <w:divBdr>
        <w:top w:val="none" w:sz="0" w:space="0" w:color="auto"/>
        <w:left w:val="none" w:sz="0" w:space="0" w:color="auto"/>
        <w:bottom w:val="none" w:sz="0" w:space="0" w:color="auto"/>
        <w:right w:val="none" w:sz="0" w:space="0" w:color="auto"/>
      </w:divBdr>
    </w:div>
    <w:div w:id="1140734525">
      <w:bodyDiv w:val="1"/>
      <w:marLeft w:val="0"/>
      <w:marRight w:val="0"/>
      <w:marTop w:val="0"/>
      <w:marBottom w:val="0"/>
      <w:divBdr>
        <w:top w:val="none" w:sz="0" w:space="0" w:color="auto"/>
        <w:left w:val="none" w:sz="0" w:space="0" w:color="auto"/>
        <w:bottom w:val="none" w:sz="0" w:space="0" w:color="auto"/>
        <w:right w:val="none" w:sz="0" w:space="0" w:color="auto"/>
      </w:divBdr>
    </w:div>
    <w:div w:id="1147935820">
      <w:bodyDiv w:val="1"/>
      <w:marLeft w:val="0"/>
      <w:marRight w:val="0"/>
      <w:marTop w:val="0"/>
      <w:marBottom w:val="0"/>
      <w:divBdr>
        <w:top w:val="none" w:sz="0" w:space="0" w:color="auto"/>
        <w:left w:val="none" w:sz="0" w:space="0" w:color="auto"/>
        <w:bottom w:val="none" w:sz="0" w:space="0" w:color="auto"/>
        <w:right w:val="none" w:sz="0" w:space="0" w:color="auto"/>
      </w:divBdr>
    </w:div>
    <w:div w:id="1151797604">
      <w:bodyDiv w:val="1"/>
      <w:marLeft w:val="0"/>
      <w:marRight w:val="0"/>
      <w:marTop w:val="0"/>
      <w:marBottom w:val="0"/>
      <w:divBdr>
        <w:top w:val="none" w:sz="0" w:space="0" w:color="auto"/>
        <w:left w:val="none" w:sz="0" w:space="0" w:color="auto"/>
        <w:bottom w:val="none" w:sz="0" w:space="0" w:color="auto"/>
        <w:right w:val="none" w:sz="0" w:space="0" w:color="auto"/>
      </w:divBdr>
    </w:div>
    <w:div w:id="1153833805">
      <w:bodyDiv w:val="1"/>
      <w:marLeft w:val="0"/>
      <w:marRight w:val="0"/>
      <w:marTop w:val="0"/>
      <w:marBottom w:val="0"/>
      <w:divBdr>
        <w:top w:val="none" w:sz="0" w:space="0" w:color="auto"/>
        <w:left w:val="none" w:sz="0" w:space="0" w:color="auto"/>
        <w:bottom w:val="none" w:sz="0" w:space="0" w:color="auto"/>
        <w:right w:val="none" w:sz="0" w:space="0" w:color="auto"/>
      </w:divBdr>
    </w:div>
    <w:div w:id="1153981547">
      <w:bodyDiv w:val="1"/>
      <w:marLeft w:val="0"/>
      <w:marRight w:val="0"/>
      <w:marTop w:val="0"/>
      <w:marBottom w:val="0"/>
      <w:divBdr>
        <w:top w:val="none" w:sz="0" w:space="0" w:color="auto"/>
        <w:left w:val="none" w:sz="0" w:space="0" w:color="auto"/>
        <w:bottom w:val="none" w:sz="0" w:space="0" w:color="auto"/>
        <w:right w:val="none" w:sz="0" w:space="0" w:color="auto"/>
      </w:divBdr>
    </w:div>
    <w:div w:id="1157651017">
      <w:bodyDiv w:val="1"/>
      <w:marLeft w:val="0"/>
      <w:marRight w:val="0"/>
      <w:marTop w:val="0"/>
      <w:marBottom w:val="0"/>
      <w:divBdr>
        <w:top w:val="none" w:sz="0" w:space="0" w:color="auto"/>
        <w:left w:val="none" w:sz="0" w:space="0" w:color="auto"/>
        <w:bottom w:val="none" w:sz="0" w:space="0" w:color="auto"/>
        <w:right w:val="none" w:sz="0" w:space="0" w:color="auto"/>
      </w:divBdr>
    </w:div>
    <w:div w:id="1165588415">
      <w:bodyDiv w:val="1"/>
      <w:marLeft w:val="0"/>
      <w:marRight w:val="0"/>
      <w:marTop w:val="0"/>
      <w:marBottom w:val="0"/>
      <w:divBdr>
        <w:top w:val="none" w:sz="0" w:space="0" w:color="auto"/>
        <w:left w:val="none" w:sz="0" w:space="0" w:color="auto"/>
        <w:bottom w:val="none" w:sz="0" w:space="0" w:color="auto"/>
        <w:right w:val="none" w:sz="0" w:space="0" w:color="auto"/>
      </w:divBdr>
    </w:div>
    <w:div w:id="1168980412">
      <w:bodyDiv w:val="1"/>
      <w:marLeft w:val="0"/>
      <w:marRight w:val="0"/>
      <w:marTop w:val="0"/>
      <w:marBottom w:val="0"/>
      <w:divBdr>
        <w:top w:val="none" w:sz="0" w:space="0" w:color="auto"/>
        <w:left w:val="none" w:sz="0" w:space="0" w:color="auto"/>
        <w:bottom w:val="none" w:sz="0" w:space="0" w:color="auto"/>
        <w:right w:val="none" w:sz="0" w:space="0" w:color="auto"/>
      </w:divBdr>
    </w:div>
    <w:div w:id="1172337735">
      <w:bodyDiv w:val="1"/>
      <w:marLeft w:val="0"/>
      <w:marRight w:val="0"/>
      <w:marTop w:val="0"/>
      <w:marBottom w:val="0"/>
      <w:divBdr>
        <w:top w:val="none" w:sz="0" w:space="0" w:color="auto"/>
        <w:left w:val="none" w:sz="0" w:space="0" w:color="auto"/>
        <w:bottom w:val="none" w:sz="0" w:space="0" w:color="auto"/>
        <w:right w:val="none" w:sz="0" w:space="0" w:color="auto"/>
      </w:divBdr>
    </w:div>
    <w:div w:id="1188832445">
      <w:bodyDiv w:val="1"/>
      <w:marLeft w:val="0"/>
      <w:marRight w:val="0"/>
      <w:marTop w:val="0"/>
      <w:marBottom w:val="0"/>
      <w:divBdr>
        <w:top w:val="none" w:sz="0" w:space="0" w:color="auto"/>
        <w:left w:val="none" w:sz="0" w:space="0" w:color="auto"/>
        <w:bottom w:val="none" w:sz="0" w:space="0" w:color="auto"/>
        <w:right w:val="none" w:sz="0" w:space="0" w:color="auto"/>
      </w:divBdr>
    </w:div>
    <w:div w:id="1201430398">
      <w:bodyDiv w:val="1"/>
      <w:marLeft w:val="0"/>
      <w:marRight w:val="0"/>
      <w:marTop w:val="0"/>
      <w:marBottom w:val="0"/>
      <w:divBdr>
        <w:top w:val="none" w:sz="0" w:space="0" w:color="auto"/>
        <w:left w:val="none" w:sz="0" w:space="0" w:color="auto"/>
        <w:bottom w:val="none" w:sz="0" w:space="0" w:color="auto"/>
        <w:right w:val="none" w:sz="0" w:space="0" w:color="auto"/>
      </w:divBdr>
    </w:div>
    <w:div w:id="1202740723">
      <w:bodyDiv w:val="1"/>
      <w:marLeft w:val="0"/>
      <w:marRight w:val="0"/>
      <w:marTop w:val="0"/>
      <w:marBottom w:val="0"/>
      <w:divBdr>
        <w:top w:val="none" w:sz="0" w:space="0" w:color="auto"/>
        <w:left w:val="none" w:sz="0" w:space="0" w:color="auto"/>
        <w:bottom w:val="none" w:sz="0" w:space="0" w:color="auto"/>
        <w:right w:val="none" w:sz="0" w:space="0" w:color="auto"/>
      </w:divBdr>
    </w:div>
    <w:div w:id="1222130974">
      <w:bodyDiv w:val="1"/>
      <w:marLeft w:val="0"/>
      <w:marRight w:val="0"/>
      <w:marTop w:val="0"/>
      <w:marBottom w:val="0"/>
      <w:divBdr>
        <w:top w:val="none" w:sz="0" w:space="0" w:color="auto"/>
        <w:left w:val="none" w:sz="0" w:space="0" w:color="auto"/>
        <w:bottom w:val="none" w:sz="0" w:space="0" w:color="auto"/>
        <w:right w:val="none" w:sz="0" w:space="0" w:color="auto"/>
      </w:divBdr>
    </w:div>
    <w:div w:id="1225528699">
      <w:bodyDiv w:val="1"/>
      <w:marLeft w:val="0"/>
      <w:marRight w:val="0"/>
      <w:marTop w:val="0"/>
      <w:marBottom w:val="0"/>
      <w:divBdr>
        <w:top w:val="none" w:sz="0" w:space="0" w:color="auto"/>
        <w:left w:val="none" w:sz="0" w:space="0" w:color="auto"/>
        <w:bottom w:val="none" w:sz="0" w:space="0" w:color="auto"/>
        <w:right w:val="none" w:sz="0" w:space="0" w:color="auto"/>
      </w:divBdr>
    </w:div>
    <w:div w:id="1237545460">
      <w:bodyDiv w:val="1"/>
      <w:marLeft w:val="0"/>
      <w:marRight w:val="0"/>
      <w:marTop w:val="0"/>
      <w:marBottom w:val="0"/>
      <w:divBdr>
        <w:top w:val="none" w:sz="0" w:space="0" w:color="auto"/>
        <w:left w:val="none" w:sz="0" w:space="0" w:color="auto"/>
        <w:bottom w:val="none" w:sz="0" w:space="0" w:color="auto"/>
        <w:right w:val="none" w:sz="0" w:space="0" w:color="auto"/>
      </w:divBdr>
    </w:div>
    <w:div w:id="1238200010">
      <w:bodyDiv w:val="1"/>
      <w:marLeft w:val="0"/>
      <w:marRight w:val="0"/>
      <w:marTop w:val="0"/>
      <w:marBottom w:val="0"/>
      <w:divBdr>
        <w:top w:val="none" w:sz="0" w:space="0" w:color="auto"/>
        <w:left w:val="none" w:sz="0" w:space="0" w:color="auto"/>
        <w:bottom w:val="none" w:sz="0" w:space="0" w:color="auto"/>
        <w:right w:val="none" w:sz="0" w:space="0" w:color="auto"/>
      </w:divBdr>
    </w:div>
    <w:div w:id="1239747951">
      <w:bodyDiv w:val="1"/>
      <w:marLeft w:val="0"/>
      <w:marRight w:val="0"/>
      <w:marTop w:val="0"/>
      <w:marBottom w:val="0"/>
      <w:divBdr>
        <w:top w:val="none" w:sz="0" w:space="0" w:color="auto"/>
        <w:left w:val="none" w:sz="0" w:space="0" w:color="auto"/>
        <w:bottom w:val="none" w:sz="0" w:space="0" w:color="auto"/>
        <w:right w:val="none" w:sz="0" w:space="0" w:color="auto"/>
      </w:divBdr>
    </w:div>
    <w:div w:id="1244559914">
      <w:bodyDiv w:val="1"/>
      <w:marLeft w:val="0"/>
      <w:marRight w:val="0"/>
      <w:marTop w:val="0"/>
      <w:marBottom w:val="0"/>
      <w:divBdr>
        <w:top w:val="none" w:sz="0" w:space="0" w:color="auto"/>
        <w:left w:val="none" w:sz="0" w:space="0" w:color="auto"/>
        <w:bottom w:val="none" w:sz="0" w:space="0" w:color="auto"/>
        <w:right w:val="none" w:sz="0" w:space="0" w:color="auto"/>
      </w:divBdr>
    </w:div>
    <w:div w:id="1244727798">
      <w:bodyDiv w:val="1"/>
      <w:marLeft w:val="0"/>
      <w:marRight w:val="0"/>
      <w:marTop w:val="0"/>
      <w:marBottom w:val="0"/>
      <w:divBdr>
        <w:top w:val="none" w:sz="0" w:space="0" w:color="auto"/>
        <w:left w:val="none" w:sz="0" w:space="0" w:color="auto"/>
        <w:bottom w:val="none" w:sz="0" w:space="0" w:color="auto"/>
        <w:right w:val="none" w:sz="0" w:space="0" w:color="auto"/>
      </w:divBdr>
    </w:div>
    <w:div w:id="1248923711">
      <w:bodyDiv w:val="1"/>
      <w:marLeft w:val="0"/>
      <w:marRight w:val="0"/>
      <w:marTop w:val="0"/>
      <w:marBottom w:val="0"/>
      <w:divBdr>
        <w:top w:val="none" w:sz="0" w:space="0" w:color="auto"/>
        <w:left w:val="none" w:sz="0" w:space="0" w:color="auto"/>
        <w:bottom w:val="none" w:sz="0" w:space="0" w:color="auto"/>
        <w:right w:val="none" w:sz="0" w:space="0" w:color="auto"/>
      </w:divBdr>
    </w:div>
    <w:div w:id="1250886766">
      <w:bodyDiv w:val="1"/>
      <w:marLeft w:val="0"/>
      <w:marRight w:val="0"/>
      <w:marTop w:val="0"/>
      <w:marBottom w:val="0"/>
      <w:divBdr>
        <w:top w:val="none" w:sz="0" w:space="0" w:color="auto"/>
        <w:left w:val="none" w:sz="0" w:space="0" w:color="auto"/>
        <w:bottom w:val="none" w:sz="0" w:space="0" w:color="auto"/>
        <w:right w:val="none" w:sz="0" w:space="0" w:color="auto"/>
      </w:divBdr>
    </w:div>
    <w:div w:id="1252084969">
      <w:bodyDiv w:val="1"/>
      <w:marLeft w:val="0"/>
      <w:marRight w:val="0"/>
      <w:marTop w:val="0"/>
      <w:marBottom w:val="0"/>
      <w:divBdr>
        <w:top w:val="none" w:sz="0" w:space="0" w:color="auto"/>
        <w:left w:val="none" w:sz="0" w:space="0" w:color="auto"/>
        <w:bottom w:val="none" w:sz="0" w:space="0" w:color="auto"/>
        <w:right w:val="none" w:sz="0" w:space="0" w:color="auto"/>
      </w:divBdr>
    </w:div>
    <w:div w:id="1255280804">
      <w:bodyDiv w:val="1"/>
      <w:marLeft w:val="0"/>
      <w:marRight w:val="0"/>
      <w:marTop w:val="0"/>
      <w:marBottom w:val="0"/>
      <w:divBdr>
        <w:top w:val="none" w:sz="0" w:space="0" w:color="auto"/>
        <w:left w:val="none" w:sz="0" w:space="0" w:color="auto"/>
        <w:bottom w:val="none" w:sz="0" w:space="0" w:color="auto"/>
        <w:right w:val="none" w:sz="0" w:space="0" w:color="auto"/>
      </w:divBdr>
    </w:div>
    <w:div w:id="1257716073">
      <w:bodyDiv w:val="1"/>
      <w:marLeft w:val="0"/>
      <w:marRight w:val="0"/>
      <w:marTop w:val="0"/>
      <w:marBottom w:val="0"/>
      <w:divBdr>
        <w:top w:val="none" w:sz="0" w:space="0" w:color="auto"/>
        <w:left w:val="none" w:sz="0" w:space="0" w:color="auto"/>
        <w:bottom w:val="none" w:sz="0" w:space="0" w:color="auto"/>
        <w:right w:val="none" w:sz="0" w:space="0" w:color="auto"/>
      </w:divBdr>
    </w:div>
    <w:div w:id="1266962387">
      <w:bodyDiv w:val="1"/>
      <w:marLeft w:val="0"/>
      <w:marRight w:val="0"/>
      <w:marTop w:val="0"/>
      <w:marBottom w:val="0"/>
      <w:divBdr>
        <w:top w:val="none" w:sz="0" w:space="0" w:color="auto"/>
        <w:left w:val="none" w:sz="0" w:space="0" w:color="auto"/>
        <w:bottom w:val="none" w:sz="0" w:space="0" w:color="auto"/>
        <w:right w:val="none" w:sz="0" w:space="0" w:color="auto"/>
      </w:divBdr>
    </w:div>
    <w:div w:id="1272278811">
      <w:bodyDiv w:val="1"/>
      <w:marLeft w:val="0"/>
      <w:marRight w:val="0"/>
      <w:marTop w:val="0"/>
      <w:marBottom w:val="0"/>
      <w:divBdr>
        <w:top w:val="none" w:sz="0" w:space="0" w:color="auto"/>
        <w:left w:val="none" w:sz="0" w:space="0" w:color="auto"/>
        <w:bottom w:val="none" w:sz="0" w:space="0" w:color="auto"/>
        <w:right w:val="none" w:sz="0" w:space="0" w:color="auto"/>
      </w:divBdr>
    </w:div>
    <w:div w:id="1277564416">
      <w:bodyDiv w:val="1"/>
      <w:marLeft w:val="0"/>
      <w:marRight w:val="0"/>
      <w:marTop w:val="0"/>
      <w:marBottom w:val="0"/>
      <w:divBdr>
        <w:top w:val="none" w:sz="0" w:space="0" w:color="auto"/>
        <w:left w:val="none" w:sz="0" w:space="0" w:color="auto"/>
        <w:bottom w:val="none" w:sz="0" w:space="0" w:color="auto"/>
        <w:right w:val="none" w:sz="0" w:space="0" w:color="auto"/>
      </w:divBdr>
    </w:div>
    <w:div w:id="1279681944">
      <w:bodyDiv w:val="1"/>
      <w:marLeft w:val="0"/>
      <w:marRight w:val="0"/>
      <w:marTop w:val="0"/>
      <w:marBottom w:val="0"/>
      <w:divBdr>
        <w:top w:val="none" w:sz="0" w:space="0" w:color="auto"/>
        <w:left w:val="none" w:sz="0" w:space="0" w:color="auto"/>
        <w:bottom w:val="none" w:sz="0" w:space="0" w:color="auto"/>
        <w:right w:val="none" w:sz="0" w:space="0" w:color="auto"/>
      </w:divBdr>
    </w:div>
    <w:div w:id="1288120709">
      <w:bodyDiv w:val="1"/>
      <w:marLeft w:val="0"/>
      <w:marRight w:val="0"/>
      <w:marTop w:val="0"/>
      <w:marBottom w:val="0"/>
      <w:divBdr>
        <w:top w:val="none" w:sz="0" w:space="0" w:color="auto"/>
        <w:left w:val="none" w:sz="0" w:space="0" w:color="auto"/>
        <w:bottom w:val="none" w:sz="0" w:space="0" w:color="auto"/>
        <w:right w:val="none" w:sz="0" w:space="0" w:color="auto"/>
      </w:divBdr>
    </w:div>
    <w:div w:id="1290355826">
      <w:bodyDiv w:val="1"/>
      <w:marLeft w:val="0"/>
      <w:marRight w:val="0"/>
      <w:marTop w:val="0"/>
      <w:marBottom w:val="0"/>
      <w:divBdr>
        <w:top w:val="none" w:sz="0" w:space="0" w:color="auto"/>
        <w:left w:val="none" w:sz="0" w:space="0" w:color="auto"/>
        <w:bottom w:val="none" w:sz="0" w:space="0" w:color="auto"/>
        <w:right w:val="none" w:sz="0" w:space="0" w:color="auto"/>
      </w:divBdr>
    </w:div>
    <w:div w:id="1295333031">
      <w:bodyDiv w:val="1"/>
      <w:marLeft w:val="0"/>
      <w:marRight w:val="0"/>
      <w:marTop w:val="0"/>
      <w:marBottom w:val="0"/>
      <w:divBdr>
        <w:top w:val="none" w:sz="0" w:space="0" w:color="auto"/>
        <w:left w:val="none" w:sz="0" w:space="0" w:color="auto"/>
        <w:bottom w:val="none" w:sz="0" w:space="0" w:color="auto"/>
        <w:right w:val="none" w:sz="0" w:space="0" w:color="auto"/>
      </w:divBdr>
    </w:div>
    <w:div w:id="1312103281">
      <w:bodyDiv w:val="1"/>
      <w:marLeft w:val="0"/>
      <w:marRight w:val="0"/>
      <w:marTop w:val="0"/>
      <w:marBottom w:val="0"/>
      <w:divBdr>
        <w:top w:val="none" w:sz="0" w:space="0" w:color="auto"/>
        <w:left w:val="none" w:sz="0" w:space="0" w:color="auto"/>
        <w:bottom w:val="none" w:sz="0" w:space="0" w:color="auto"/>
        <w:right w:val="none" w:sz="0" w:space="0" w:color="auto"/>
      </w:divBdr>
    </w:div>
    <w:div w:id="1328557734">
      <w:bodyDiv w:val="1"/>
      <w:marLeft w:val="0"/>
      <w:marRight w:val="0"/>
      <w:marTop w:val="0"/>
      <w:marBottom w:val="0"/>
      <w:divBdr>
        <w:top w:val="none" w:sz="0" w:space="0" w:color="auto"/>
        <w:left w:val="none" w:sz="0" w:space="0" w:color="auto"/>
        <w:bottom w:val="none" w:sz="0" w:space="0" w:color="auto"/>
        <w:right w:val="none" w:sz="0" w:space="0" w:color="auto"/>
      </w:divBdr>
    </w:div>
    <w:div w:id="1333029436">
      <w:bodyDiv w:val="1"/>
      <w:marLeft w:val="0"/>
      <w:marRight w:val="0"/>
      <w:marTop w:val="0"/>
      <w:marBottom w:val="0"/>
      <w:divBdr>
        <w:top w:val="none" w:sz="0" w:space="0" w:color="auto"/>
        <w:left w:val="none" w:sz="0" w:space="0" w:color="auto"/>
        <w:bottom w:val="none" w:sz="0" w:space="0" w:color="auto"/>
        <w:right w:val="none" w:sz="0" w:space="0" w:color="auto"/>
      </w:divBdr>
    </w:div>
    <w:div w:id="1335376445">
      <w:bodyDiv w:val="1"/>
      <w:marLeft w:val="0"/>
      <w:marRight w:val="0"/>
      <w:marTop w:val="0"/>
      <w:marBottom w:val="0"/>
      <w:divBdr>
        <w:top w:val="none" w:sz="0" w:space="0" w:color="auto"/>
        <w:left w:val="none" w:sz="0" w:space="0" w:color="auto"/>
        <w:bottom w:val="none" w:sz="0" w:space="0" w:color="auto"/>
        <w:right w:val="none" w:sz="0" w:space="0" w:color="auto"/>
      </w:divBdr>
    </w:div>
    <w:div w:id="1336886496">
      <w:bodyDiv w:val="1"/>
      <w:marLeft w:val="0"/>
      <w:marRight w:val="0"/>
      <w:marTop w:val="0"/>
      <w:marBottom w:val="0"/>
      <w:divBdr>
        <w:top w:val="none" w:sz="0" w:space="0" w:color="auto"/>
        <w:left w:val="none" w:sz="0" w:space="0" w:color="auto"/>
        <w:bottom w:val="none" w:sz="0" w:space="0" w:color="auto"/>
        <w:right w:val="none" w:sz="0" w:space="0" w:color="auto"/>
      </w:divBdr>
    </w:div>
    <w:div w:id="1337077217">
      <w:bodyDiv w:val="1"/>
      <w:marLeft w:val="0"/>
      <w:marRight w:val="0"/>
      <w:marTop w:val="0"/>
      <w:marBottom w:val="0"/>
      <w:divBdr>
        <w:top w:val="none" w:sz="0" w:space="0" w:color="auto"/>
        <w:left w:val="none" w:sz="0" w:space="0" w:color="auto"/>
        <w:bottom w:val="none" w:sz="0" w:space="0" w:color="auto"/>
        <w:right w:val="none" w:sz="0" w:space="0" w:color="auto"/>
      </w:divBdr>
    </w:div>
    <w:div w:id="1341617221">
      <w:bodyDiv w:val="1"/>
      <w:marLeft w:val="0"/>
      <w:marRight w:val="0"/>
      <w:marTop w:val="0"/>
      <w:marBottom w:val="0"/>
      <w:divBdr>
        <w:top w:val="none" w:sz="0" w:space="0" w:color="auto"/>
        <w:left w:val="none" w:sz="0" w:space="0" w:color="auto"/>
        <w:bottom w:val="none" w:sz="0" w:space="0" w:color="auto"/>
        <w:right w:val="none" w:sz="0" w:space="0" w:color="auto"/>
      </w:divBdr>
    </w:div>
    <w:div w:id="1342006840">
      <w:bodyDiv w:val="1"/>
      <w:marLeft w:val="0"/>
      <w:marRight w:val="0"/>
      <w:marTop w:val="0"/>
      <w:marBottom w:val="0"/>
      <w:divBdr>
        <w:top w:val="none" w:sz="0" w:space="0" w:color="auto"/>
        <w:left w:val="none" w:sz="0" w:space="0" w:color="auto"/>
        <w:bottom w:val="none" w:sz="0" w:space="0" w:color="auto"/>
        <w:right w:val="none" w:sz="0" w:space="0" w:color="auto"/>
      </w:divBdr>
    </w:div>
    <w:div w:id="1342774507">
      <w:bodyDiv w:val="1"/>
      <w:marLeft w:val="0"/>
      <w:marRight w:val="0"/>
      <w:marTop w:val="0"/>
      <w:marBottom w:val="0"/>
      <w:divBdr>
        <w:top w:val="none" w:sz="0" w:space="0" w:color="auto"/>
        <w:left w:val="none" w:sz="0" w:space="0" w:color="auto"/>
        <w:bottom w:val="none" w:sz="0" w:space="0" w:color="auto"/>
        <w:right w:val="none" w:sz="0" w:space="0" w:color="auto"/>
      </w:divBdr>
    </w:div>
    <w:div w:id="1344279359">
      <w:bodyDiv w:val="1"/>
      <w:marLeft w:val="0"/>
      <w:marRight w:val="0"/>
      <w:marTop w:val="0"/>
      <w:marBottom w:val="0"/>
      <w:divBdr>
        <w:top w:val="none" w:sz="0" w:space="0" w:color="auto"/>
        <w:left w:val="none" w:sz="0" w:space="0" w:color="auto"/>
        <w:bottom w:val="none" w:sz="0" w:space="0" w:color="auto"/>
        <w:right w:val="none" w:sz="0" w:space="0" w:color="auto"/>
      </w:divBdr>
    </w:div>
    <w:div w:id="1354107513">
      <w:bodyDiv w:val="1"/>
      <w:marLeft w:val="0"/>
      <w:marRight w:val="0"/>
      <w:marTop w:val="0"/>
      <w:marBottom w:val="0"/>
      <w:divBdr>
        <w:top w:val="none" w:sz="0" w:space="0" w:color="auto"/>
        <w:left w:val="none" w:sz="0" w:space="0" w:color="auto"/>
        <w:bottom w:val="none" w:sz="0" w:space="0" w:color="auto"/>
        <w:right w:val="none" w:sz="0" w:space="0" w:color="auto"/>
      </w:divBdr>
    </w:div>
    <w:div w:id="1357924053">
      <w:bodyDiv w:val="1"/>
      <w:marLeft w:val="0"/>
      <w:marRight w:val="0"/>
      <w:marTop w:val="0"/>
      <w:marBottom w:val="0"/>
      <w:divBdr>
        <w:top w:val="none" w:sz="0" w:space="0" w:color="auto"/>
        <w:left w:val="none" w:sz="0" w:space="0" w:color="auto"/>
        <w:bottom w:val="none" w:sz="0" w:space="0" w:color="auto"/>
        <w:right w:val="none" w:sz="0" w:space="0" w:color="auto"/>
      </w:divBdr>
    </w:div>
    <w:div w:id="1366516814">
      <w:bodyDiv w:val="1"/>
      <w:marLeft w:val="0"/>
      <w:marRight w:val="0"/>
      <w:marTop w:val="0"/>
      <w:marBottom w:val="0"/>
      <w:divBdr>
        <w:top w:val="none" w:sz="0" w:space="0" w:color="auto"/>
        <w:left w:val="none" w:sz="0" w:space="0" w:color="auto"/>
        <w:bottom w:val="none" w:sz="0" w:space="0" w:color="auto"/>
        <w:right w:val="none" w:sz="0" w:space="0" w:color="auto"/>
      </w:divBdr>
    </w:div>
    <w:div w:id="1369909850">
      <w:bodyDiv w:val="1"/>
      <w:marLeft w:val="0"/>
      <w:marRight w:val="0"/>
      <w:marTop w:val="0"/>
      <w:marBottom w:val="0"/>
      <w:divBdr>
        <w:top w:val="none" w:sz="0" w:space="0" w:color="auto"/>
        <w:left w:val="none" w:sz="0" w:space="0" w:color="auto"/>
        <w:bottom w:val="none" w:sz="0" w:space="0" w:color="auto"/>
        <w:right w:val="none" w:sz="0" w:space="0" w:color="auto"/>
      </w:divBdr>
    </w:div>
    <w:div w:id="1371882607">
      <w:bodyDiv w:val="1"/>
      <w:marLeft w:val="0"/>
      <w:marRight w:val="0"/>
      <w:marTop w:val="0"/>
      <w:marBottom w:val="0"/>
      <w:divBdr>
        <w:top w:val="none" w:sz="0" w:space="0" w:color="auto"/>
        <w:left w:val="none" w:sz="0" w:space="0" w:color="auto"/>
        <w:bottom w:val="none" w:sz="0" w:space="0" w:color="auto"/>
        <w:right w:val="none" w:sz="0" w:space="0" w:color="auto"/>
      </w:divBdr>
    </w:div>
    <w:div w:id="1376008789">
      <w:bodyDiv w:val="1"/>
      <w:marLeft w:val="0"/>
      <w:marRight w:val="0"/>
      <w:marTop w:val="0"/>
      <w:marBottom w:val="0"/>
      <w:divBdr>
        <w:top w:val="none" w:sz="0" w:space="0" w:color="auto"/>
        <w:left w:val="none" w:sz="0" w:space="0" w:color="auto"/>
        <w:bottom w:val="none" w:sz="0" w:space="0" w:color="auto"/>
        <w:right w:val="none" w:sz="0" w:space="0" w:color="auto"/>
      </w:divBdr>
    </w:div>
    <w:div w:id="1377240017">
      <w:bodyDiv w:val="1"/>
      <w:marLeft w:val="0"/>
      <w:marRight w:val="0"/>
      <w:marTop w:val="0"/>
      <w:marBottom w:val="0"/>
      <w:divBdr>
        <w:top w:val="none" w:sz="0" w:space="0" w:color="auto"/>
        <w:left w:val="none" w:sz="0" w:space="0" w:color="auto"/>
        <w:bottom w:val="none" w:sz="0" w:space="0" w:color="auto"/>
        <w:right w:val="none" w:sz="0" w:space="0" w:color="auto"/>
      </w:divBdr>
    </w:div>
    <w:div w:id="1381712212">
      <w:bodyDiv w:val="1"/>
      <w:marLeft w:val="0"/>
      <w:marRight w:val="0"/>
      <w:marTop w:val="0"/>
      <w:marBottom w:val="0"/>
      <w:divBdr>
        <w:top w:val="none" w:sz="0" w:space="0" w:color="auto"/>
        <w:left w:val="none" w:sz="0" w:space="0" w:color="auto"/>
        <w:bottom w:val="none" w:sz="0" w:space="0" w:color="auto"/>
        <w:right w:val="none" w:sz="0" w:space="0" w:color="auto"/>
      </w:divBdr>
    </w:div>
    <w:div w:id="1386249124">
      <w:bodyDiv w:val="1"/>
      <w:marLeft w:val="0"/>
      <w:marRight w:val="0"/>
      <w:marTop w:val="0"/>
      <w:marBottom w:val="0"/>
      <w:divBdr>
        <w:top w:val="none" w:sz="0" w:space="0" w:color="auto"/>
        <w:left w:val="none" w:sz="0" w:space="0" w:color="auto"/>
        <w:bottom w:val="none" w:sz="0" w:space="0" w:color="auto"/>
        <w:right w:val="none" w:sz="0" w:space="0" w:color="auto"/>
      </w:divBdr>
    </w:div>
    <w:div w:id="1390610841">
      <w:bodyDiv w:val="1"/>
      <w:marLeft w:val="0"/>
      <w:marRight w:val="0"/>
      <w:marTop w:val="0"/>
      <w:marBottom w:val="0"/>
      <w:divBdr>
        <w:top w:val="none" w:sz="0" w:space="0" w:color="auto"/>
        <w:left w:val="none" w:sz="0" w:space="0" w:color="auto"/>
        <w:bottom w:val="none" w:sz="0" w:space="0" w:color="auto"/>
        <w:right w:val="none" w:sz="0" w:space="0" w:color="auto"/>
      </w:divBdr>
    </w:div>
    <w:div w:id="1395736418">
      <w:bodyDiv w:val="1"/>
      <w:marLeft w:val="0"/>
      <w:marRight w:val="0"/>
      <w:marTop w:val="0"/>
      <w:marBottom w:val="0"/>
      <w:divBdr>
        <w:top w:val="none" w:sz="0" w:space="0" w:color="auto"/>
        <w:left w:val="none" w:sz="0" w:space="0" w:color="auto"/>
        <w:bottom w:val="none" w:sz="0" w:space="0" w:color="auto"/>
        <w:right w:val="none" w:sz="0" w:space="0" w:color="auto"/>
      </w:divBdr>
    </w:div>
    <w:div w:id="1395851710">
      <w:bodyDiv w:val="1"/>
      <w:marLeft w:val="0"/>
      <w:marRight w:val="0"/>
      <w:marTop w:val="0"/>
      <w:marBottom w:val="0"/>
      <w:divBdr>
        <w:top w:val="none" w:sz="0" w:space="0" w:color="auto"/>
        <w:left w:val="none" w:sz="0" w:space="0" w:color="auto"/>
        <w:bottom w:val="none" w:sz="0" w:space="0" w:color="auto"/>
        <w:right w:val="none" w:sz="0" w:space="0" w:color="auto"/>
      </w:divBdr>
    </w:div>
    <w:div w:id="1398699354">
      <w:bodyDiv w:val="1"/>
      <w:marLeft w:val="0"/>
      <w:marRight w:val="0"/>
      <w:marTop w:val="0"/>
      <w:marBottom w:val="0"/>
      <w:divBdr>
        <w:top w:val="none" w:sz="0" w:space="0" w:color="auto"/>
        <w:left w:val="none" w:sz="0" w:space="0" w:color="auto"/>
        <w:bottom w:val="none" w:sz="0" w:space="0" w:color="auto"/>
        <w:right w:val="none" w:sz="0" w:space="0" w:color="auto"/>
      </w:divBdr>
    </w:div>
    <w:div w:id="1399597158">
      <w:bodyDiv w:val="1"/>
      <w:marLeft w:val="0"/>
      <w:marRight w:val="0"/>
      <w:marTop w:val="0"/>
      <w:marBottom w:val="0"/>
      <w:divBdr>
        <w:top w:val="none" w:sz="0" w:space="0" w:color="auto"/>
        <w:left w:val="none" w:sz="0" w:space="0" w:color="auto"/>
        <w:bottom w:val="none" w:sz="0" w:space="0" w:color="auto"/>
        <w:right w:val="none" w:sz="0" w:space="0" w:color="auto"/>
      </w:divBdr>
    </w:div>
    <w:div w:id="1406419754">
      <w:bodyDiv w:val="1"/>
      <w:marLeft w:val="0"/>
      <w:marRight w:val="0"/>
      <w:marTop w:val="0"/>
      <w:marBottom w:val="0"/>
      <w:divBdr>
        <w:top w:val="none" w:sz="0" w:space="0" w:color="auto"/>
        <w:left w:val="none" w:sz="0" w:space="0" w:color="auto"/>
        <w:bottom w:val="none" w:sz="0" w:space="0" w:color="auto"/>
        <w:right w:val="none" w:sz="0" w:space="0" w:color="auto"/>
      </w:divBdr>
    </w:div>
    <w:div w:id="1407652334">
      <w:bodyDiv w:val="1"/>
      <w:marLeft w:val="0"/>
      <w:marRight w:val="0"/>
      <w:marTop w:val="0"/>
      <w:marBottom w:val="0"/>
      <w:divBdr>
        <w:top w:val="none" w:sz="0" w:space="0" w:color="auto"/>
        <w:left w:val="none" w:sz="0" w:space="0" w:color="auto"/>
        <w:bottom w:val="none" w:sz="0" w:space="0" w:color="auto"/>
        <w:right w:val="none" w:sz="0" w:space="0" w:color="auto"/>
      </w:divBdr>
    </w:div>
    <w:div w:id="1411005740">
      <w:bodyDiv w:val="1"/>
      <w:marLeft w:val="0"/>
      <w:marRight w:val="0"/>
      <w:marTop w:val="0"/>
      <w:marBottom w:val="0"/>
      <w:divBdr>
        <w:top w:val="none" w:sz="0" w:space="0" w:color="auto"/>
        <w:left w:val="none" w:sz="0" w:space="0" w:color="auto"/>
        <w:bottom w:val="none" w:sz="0" w:space="0" w:color="auto"/>
        <w:right w:val="none" w:sz="0" w:space="0" w:color="auto"/>
      </w:divBdr>
    </w:div>
    <w:div w:id="1415317149">
      <w:bodyDiv w:val="1"/>
      <w:marLeft w:val="0"/>
      <w:marRight w:val="0"/>
      <w:marTop w:val="0"/>
      <w:marBottom w:val="0"/>
      <w:divBdr>
        <w:top w:val="none" w:sz="0" w:space="0" w:color="auto"/>
        <w:left w:val="none" w:sz="0" w:space="0" w:color="auto"/>
        <w:bottom w:val="none" w:sz="0" w:space="0" w:color="auto"/>
        <w:right w:val="none" w:sz="0" w:space="0" w:color="auto"/>
      </w:divBdr>
    </w:div>
    <w:div w:id="1416439010">
      <w:bodyDiv w:val="1"/>
      <w:marLeft w:val="0"/>
      <w:marRight w:val="0"/>
      <w:marTop w:val="0"/>
      <w:marBottom w:val="0"/>
      <w:divBdr>
        <w:top w:val="none" w:sz="0" w:space="0" w:color="auto"/>
        <w:left w:val="none" w:sz="0" w:space="0" w:color="auto"/>
        <w:bottom w:val="none" w:sz="0" w:space="0" w:color="auto"/>
        <w:right w:val="none" w:sz="0" w:space="0" w:color="auto"/>
      </w:divBdr>
    </w:div>
    <w:div w:id="1416897349">
      <w:bodyDiv w:val="1"/>
      <w:marLeft w:val="0"/>
      <w:marRight w:val="0"/>
      <w:marTop w:val="0"/>
      <w:marBottom w:val="0"/>
      <w:divBdr>
        <w:top w:val="none" w:sz="0" w:space="0" w:color="auto"/>
        <w:left w:val="none" w:sz="0" w:space="0" w:color="auto"/>
        <w:bottom w:val="none" w:sz="0" w:space="0" w:color="auto"/>
        <w:right w:val="none" w:sz="0" w:space="0" w:color="auto"/>
      </w:divBdr>
    </w:div>
    <w:div w:id="1431702426">
      <w:bodyDiv w:val="1"/>
      <w:marLeft w:val="0"/>
      <w:marRight w:val="0"/>
      <w:marTop w:val="0"/>
      <w:marBottom w:val="0"/>
      <w:divBdr>
        <w:top w:val="none" w:sz="0" w:space="0" w:color="auto"/>
        <w:left w:val="none" w:sz="0" w:space="0" w:color="auto"/>
        <w:bottom w:val="none" w:sz="0" w:space="0" w:color="auto"/>
        <w:right w:val="none" w:sz="0" w:space="0" w:color="auto"/>
      </w:divBdr>
    </w:div>
    <w:div w:id="1434131154">
      <w:bodyDiv w:val="1"/>
      <w:marLeft w:val="0"/>
      <w:marRight w:val="0"/>
      <w:marTop w:val="0"/>
      <w:marBottom w:val="0"/>
      <w:divBdr>
        <w:top w:val="none" w:sz="0" w:space="0" w:color="auto"/>
        <w:left w:val="none" w:sz="0" w:space="0" w:color="auto"/>
        <w:bottom w:val="none" w:sz="0" w:space="0" w:color="auto"/>
        <w:right w:val="none" w:sz="0" w:space="0" w:color="auto"/>
      </w:divBdr>
    </w:div>
    <w:div w:id="1434744601">
      <w:bodyDiv w:val="1"/>
      <w:marLeft w:val="0"/>
      <w:marRight w:val="0"/>
      <w:marTop w:val="0"/>
      <w:marBottom w:val="0"/>
      <w:divBdr>
        <w:top w:val="none" w:sz="0" w:space="0" w:color="auto"/>
        <w:left w:val="none" w:sz="0" w:space="0" w:color="auto"/>
        <w:bottom w:val="none" w:sz="0" w:space="0" w:color="auto"/>
        <w:right w:val="none" w:sz="0" w:space="0" w:color="auto"/>
      </w:divBdr>
    </w:div>
    <w:div w:id="1439369393">
      <w:bodyDiv w:val="1"/>
      <w:marLeft w:val="0"/>
      <w:marRight w:val="0"/>
      <w:marTop w:val="0"/>
      <w:marBottom w:val="0"/>
      <w:divBdr>
        <w:top w:val="none" w:sz="0" w:space="0" w:color="auto"/>
        <w:left w:val="none" w:sz="0" w:space="0" w:color="auto"/>
        <w:bottom w:val="none" w:sz="0" w:space="0" w:color="auto"/>
        <w:right w:val="none" w:sz="0" w:space="0" w:color="auto"/>
      </w:divBdr>
    </w:div>
    <w:div w:id="1442842822">
      <w:bodyDiv w:val="1"/>
      <w:marLeft w:val="0"/>
      <w:marRight w:val="0"/>
      <w:marTop w:val="0"/>
      <w:marBottom w:val="0"/>
      <w:divBdr>
        <w:top w:val="none" w:sz="0" w:space="0" w:color="auto"/>
        <w:left w:val="none" w:sz="0" w:space="0" w:color="auto"/>
        <w:bottom w:val="none" w:sz="0" w:space="0" w:color="auto"/>
        <w:right w:val="none" w:sz="0" w:space="0" w:color="auto"/>
      </w:divBdr>
    </w:div>
    <w:div w:id="1443917966">
      <w:bodyDiv w:val="1"/>
      <w:marLeft w:val="0"/>
      <w:marRight w:val="0"/>
      <w:marTop w:val="0"/>
      <w:marBottom w:val="0"/>
      <w:divBdr>
        <w:top w:val="none" w:sz="0" w:space="0" w:color="auto"/>
        <w:left w:val="none" w:sz="0" w:space="0" w:color="auto"/>
        <w:bottom w:val="none" w:sz="0" w:space="0" w:color="auto"/>
        <w:right w:val="none" w:sz="0" w:space="0" w:color="auto"/>
      </w:divBdr>
    </w:div>
    <w:div w:id="1450969295">
      <w:bodyDiv w:val="1"/>
      <w:marLeft w:val="0"/>
      <w:marRight w:val="0"/>
      <w:marTop w:val="0"/>
      <w:marBottom w:val="0"/>
      <w:divBdr>
        <w:top w:val="none" w:sz="0" w:space="0" w:color="auto"/>
        <w:left w:val="none" w:sz="0" w:space="0" w:color="auto"/>
        <w:bottom w:val="none" w:sz="0" w:space="0" w:color="auto"/>
        <w:right w:val="none" w:sz="0" w:space="0" w:color="auto"/>
      </w:divBdr>
    </w:div>
    <w:div w:id="1454203532">
      <w:bodyDiv w:val="1"/>
      <w:marLeft w:val="0"/>
      <w:marRight w:val="0"/>
      <w:marTop w:val="0"/>
      <w:marBottom w:val="0"/>
      <w:divBdr>
        <w:top w:val="none" w:sz="0" w:space="0" w:color="auto"/>
        <w:left w:val="none" w:sz="0" w:space="0" w:color="auto"/>
        <w:bottom w:val="none" w:sz="0" w:space="0" w:color="auto"/>
        <w:right w:val="none" w:sz="0" w:space="0" w:color="auto"/>
      </w:divBdr>
    </w:div>
    <w:div w:id="1471708503">
      <w:bodyDiv w:val="1"/>
      <w:marLeft w:val="0"/>
      <w:marRight w:val="0"/>
      <w:marTop w:val="0"/>
      <w:marBottom w:val="0"/>
      <w:divBdr>
        <w:top w:val="none" w:sz="0" w:space="0" w:color="auto"/>
        <w:left w:val="none" w:sz="0" w:space="0" w:color="auto"/>
        <w:bottom w:val="none" w:sz="0" w:space="0" w:color="auto"/>
        <w:right w:val="none" w:sz="0" w:space="0" w:color="auto"/>
      </w:divBdr>
    </w:div>
    <w:div w:id="1476409409">
      <w:bodyDiv w:val="1"/>
      <w:marLeft w:val="0"/>
      <w:marRight w:val="0"/>
      <w:marTop w:val="0"/>
      <w:marBottom w:val="0"/>
      <w:divBdr>
        <w:top w:val="none" w:sz="0" w:space="0" w:color="auto"/>
        <w:left w:val="none" w:sz="0" w:space="0" w:color="auto"/>
        <w:bottom w:val="none" w:sz="0" w:space="0" w:color="auto"/>
        <w:right w:val="none" w:sz="0" w:space="0" w:color="auto"/>
      </w:divBdr>
    </w:div>
    <w:div w:id="1483036676">
      <w:bodyDiv w:val="1"/>
      <w:marLeft w:val="0"/>
      <w:marRight w:val="0"/>
      <w:marTop w:val="0"/>
      <w:marBottom w:val="0"/>
      <w:divBdr>
        <w:top w:val="none" w:sz="0" w:space="0" w:color="auto"/>
        <w:left w:val="none" w:sz="0" w:space="0" w:color="auto"/>
        <w:bottom w:val="none" w:sz="0" w:space="0" w:color="auto"/>
        <w:right w:val="none" w:sz="0" w:space="0" w:color="auto"/>
      </w:divBdr>
    </w:div>
    <w:div w:id="1485389318">
      <w:bodyDiv w:val="1"/>
      <w:marLeft w:val="0"/>
      <w:marRight w:val="0"/>
      <w:marTop w:val="0"/>
      <w:marBottom w:val="0"/>
      <w:divBdr>
        <w:top w:val="none" w:sz="0" w:space="0" w:color="auto"/>
        <w:left w:val="none" w:sz="0" w:space="0" w:color="auto"/>
        <w:bottom w:val="none" w:sz="0" w:space="0" w:color="auto"/>
        <w:right w:val="none" w:sz="0" w:space="0" w:color="auto"/>
      </w:divBdr>
    </w:div>
    <w:div w:id="1490707708">
      <w:bodyDiv w:val="1"/>
      <w:marLeft w:val="0"/>
      <w:marRight w:val="0"/>
      <w:marTop w:val="0"/>
      <w:marBottom w:val="0"/>
      <w:divBdr>
        <w:top w:val="none" w:sz="0" w:space="0" w:color="auto"/>
        <w:left w:val="none" w:sz="0" w:space="0" w:color="auto"/>
        <w:bottom w:val="none" w:sz="0" w:space="0" w:color="auto"/>
        <w:right w:val="none" w:sz="0" w:space="0" w:color="auto"/>
      </w:divBdr>
    </w:div>
    <w:div w:id="1503932854">
      <w:bodyDiv w:val="1"/>
      <w:marLeft w:val="0"/>
      <w:marRight w:val="0"/>
      <w:marTop w:val="0"/>
      <w:marBottom w:val="0"/>
      <w:divBdr>
        <w:top w:val="none" w:sz="0" w:space="0" w:color="auto"/>
        <w:left w:val="none" w:sz="0" w:space="0" w:color="auto"/>
        <w:bottom w:val="none" w:sz="0" w:space="0" w:color="auto"/>
        <w:right w:val="none" w:sz="0" w:space="0" w:color="auto"/>
      </w:divBdr>
    </w:div>
    <w:div w:id="1504786256">
      <w:bodyDiv w:val="1"/>
      <w:marLeft w:val="0"/>
      <w:marRight w:val="0"/>
      <w:marTop w:val="0"/>
      <w:marBottom w:val="0"/>
      <w:divBdr>
        <w:top w:val="none" w:sz="0" w:space="0" w:color="auto"/>
        <w:left w:val="none" w:sz="0" w:space="0" w:color="auto"/>
        <w:bottom w:val="none" w:sz="0" w:space="0" w:color="auto"/>
        <w:right w:val="none" w:sz="0" w:space="0" w:color="auto"/>
      </w:divBdr>
    </w:div>
    <w:div w:id="1514301214">
      <w:bodyDiv w:val="1"/>
      <w:marLeft w:val="0"/>
      <w:marRight w:val="0"/>
      <w:marTop w:val="0"/>
      <w:marBottom w:val="0"/>
      <w:divBdr>
        <w:top w:val="none" w:sz="0" w:space="0" w:color="auto"/>
        <w:left w:val="none" w:sz="0" w:space="0" w:color="auto"/>
        <w:bottom w:val="none" w:sz="0" w:space="0" w:color="auto"/>
        <w:right w:val="none" w:sz="0" w:space="0" w:color="auto"/>
      </w:divBdr>
    </w:div>
    <w:div w:id="1525093930">
      <w:bodyDiv w:val="1"/>
      <w:marLeft w:val="0"/>
      <w:marRight w:val="0"/>
      <w:marTop w:val="0"/>
      <w:marBottom w:val="0"/>
      <w:divBdr>
        <w:top w:val="none" w:sz="0" w:space="0" w:color="auto"/>
        <w:left w:val="none" w:sz="0" w:space="0" w:color="auto"/>
        <w:bottom w:val="none" w:sz="0" w:space="0" w:color="auto"/>
        <w:right w:val="none" w:sz="0" w:space="0" w:color="auto"/>
      </w:divBdr>
    </w:div>
    <w:div w:id="1525367812">
      <w:bodyDiv w:val="1"/>
      <w:marLeft w:val="0"/>
      <w:marRight w:val="0"/>
      <w:marTop w:val="0"/>
      <w:marBottom w:val="0"/>
      <w:divBdr>
        <w:top w:val="none" w:sz="0" w:space="0" w:color="auto"/>
        <w:left w:val="none" w:sz="0" w:space="0" w:color="auto"/>
        <w:bottom w:val="none" w:sz="0" w:space="0" w:color="auto"/>
        <w:right w:val="none" w:sz="0" w:space="0" w:color="auto"/>
      </w:divBdr>
    </w:div>
    <w:div w:id="1527669570">
      <w:bodyDiv w:val="1"/>
      <w:marLeft w:val="0"/>
      <w:marRight w:val="0"/>
      <w:marTop w:val="0"/>
      <w:marBottom w:val="0"/>
      <w:divBdr>
        <w:top w:val="none" w:sz="0" w:space="0" w:color="auto"/>
        <w:left w:val="none" w:sz="0" w:space="0" w:color="auto"/>
        <w:bottom w:val="none" w:sz="0" w:space="0" w:color="auto"/>
        <w:right w:val="none" w:sz="0" w:space="0" w:color="auto"/>
      </w:divBdr>
    </w:div>
    <w:div w:id="1527794058">
      <w:bodyDiv w:val="1"/>
      <w:marLeft w:val="0"/>
      <w:marRight w:val="0"/>
      <w:marTop w:val="0"/>
      <w:marBottom w:val="0"/>
      <w:divBdr>
        <w:top w:val="none" w:sz="0" w:space="0" w:color="auto"/>
        <w:left w:val="none" w:sz="0" w:space="0" w:color="auto"/>
        <w:bottom w:val="none" w:sz="0" w:space="0" w:color="auto"/>
        <w:right w:val="none" w:sz="0" w:space="0" w:color="auto"/>
      </w:divBdr>
    </w:div>
    <w:div w:id="1545872029">
      <w:bodyDiv w:val="1"/>
      <w:marLeft w:val="0"/>
      <w:marRight w:val="0"/>
      <w:marTop w:val="0"/>
      <w:marBottom w:val="0"/>
      <w:divBdr>
        <w:top w:val="none" w:sz="0" w:space="0" w:color="auto"/>
        <w:left w:val="none" w:sz="0" w:space="0" w:color="auto"/>
        <w:bottom w:val="none" w:sz="0" w:space="0" w:color="auto"/>
        <w:right w:val="none" w:sz="0" w:space="0" w:color="auto"/>
      </w:divBdr>
    </w:div>
    <w:div w:id="1547063716">
      <w:bodyDiv w:val="1"/>
      <w:marLeft w:val="0"/>
      <w:marRight w:val="0"/>
      <w:marTop w:val="0"/>
      <w:marBottom w:val="0"/>
      <w:divBdr>
        <w:top w:val="none" w:sz="0" w:space="0" w:color="auto"/>
        <w:left w:val="none" w:sz="0" w:space="0" w:color="auto"/>
        <w:bottom w:val="none" w:sz="0" w:space="0" w:color="auto"/>
        <w:right w:val="none" w:sz="0" w:space="0" w:color="auto"/>
      </w:divBdr>
    </w:div>
    <w:div w:id="1549757034">
      <w:bodyDiv w:val="1"/>
      <w:marLeft w:val="0"/>
      <w:marRight w:val="0"/>
      <w:marTop w:val="0"/>
      <w:marBottom w:val="0"/>
      <w:divBdr>
        <w:top w:val="none" w:sz="0" w:space="0" w:color="auto"/>
        <w:left w:val="none" w:sz="0" w:space="0" w:color="auto"/>
        <w:bottom w:val="none" w:sz="0" w:space="0" w:color="auto"/>
        <w:right w:val="none" w:sz="0" w:space="0" w:color="auto"/>
      </w:divBdr>
    </w:div>
    <w:div w:id="1551960727">
      <w:bodyDiv w:val="1"/>
      <w:marLeft w:val="0"/>
      <w:marRight w:val="0"/>
      <w:marTop w:val="0"/>
      <w:marBottom w:val="0"/>
      <w:divBdr>
        <w:top w:val="none" w:sz="0" w:space="0" w:color="auto"/>
        <w:left w:val="none" w:sz="0" w:space="0" w:color="auto"/>
        <w:bottom w:val="none" w:sz="0" w:space="0" w:color="auto"/>
        <w:right w:val="none" w:sz="0" w:space="0" w:color="auto"/>
      </w:divBdr>
    </w:div>
    <w:div w:id="1558473871">
      <w:bodyDiv w:val="1"/>
      <w:marLeft w:val="0"/>
      <w:marRight w:val="0"/>
      <w:marTop w:val="0"/>
      <w:marBottom w:val="0"/>
      <w:divBdr>
        <w:top w:val="none" w:sz="0" w:space="0" w:color="auto"/>
        <w:left w:val="none" w:sz="0" w:space="0" w:color="auto"/>
        <w:bottom w:val="none" w:sz="0" w:space="0" w:color="auto"/>
        <w:right w:val="none" w:sz="0" w:space="0" w:color="auto"/>
      </w:divBdr>
    </w:div>
    <w:div w:id="1587761767">
      <w:bodyDiv w:val="1"/>
      <w:marLeft w:val="0"/>
      <w:marRight w:val="0"/>
      <w:marTop w:val="0"/>
      <w:marBottom w:val="0"/>
      <w:divBdr>
        <w:top w:val="none" w:sz="0" w:space="0" w:color="auto"/>
        <w:left w:val="none" w:sz="0" w:space="0" w:color="auto"/>
        <w:bottom w:val="none" w:sz="0" w:space="0" w:color="auto"/>
        <w:right w:val="none" w:sz="0" w:space="0" w:color="auto"/>
      </w:divBdr>
    </w:div>
    <w:div w:id="1598099420">
      <w:bodyDiv w:val="1"/>
      <w:marLeft w:val="0"/>
      <w:marRight w:val="0"/>
      <w:marTop w:val="0"/>
      <w:marBottom w:val="0"/>
      <w:divBdr>
        <w:top w:val="none" w:sz="0" w:space="0" w:color="auto"/>
        <w:left w:val="none" w:sz="0" w:space="0" w:color="auto"/>
        <w:bottom w:val="none" w:sz="0" w:space="0" w:color="auto"/>
        <w:right w:val="none" w:sz="0" w:space="0" w:color="auto"/>
      </w:divBdr>
    </w:div>
    <w:div w:id="1598176542">
      <w:bodyDiv w:val="1"/>
      <w:marLeft w:val="0"/>
      <w:marRight w:val="0"/>
      <w:marTop w:val="0"/>
      <w:marBottom w:val="0"/>
      <w:divBdr>
        <w:top w:val="none" w:sz="0" w:space="0" w:color="auto"/>
        <w:left w:val="none" w:sz="0" w:space="0" w:color="auto"/>
        <w:bottom w:val="none" w:sz="0" w:space="0" w:color="auto"/>
        <w:right w:val="none" w:sz="0" w:space="0" w:color="auto"/>
      </w:divBdr>
    </w:div>
    <w:div w:id="1599676720">
      <w:bodyDiv w:val="1"/>
      <w:marLeft w:val="0"/>
      <w:marRight w:val="0"/>
      <w:marTop w:val="0"/>
      <w:marBottom w:val="0"/>
      <w:divBdr>
        <w:top w:val="none" w:sz="0" w:space="0" w:color="auto"/>
        <w:left w:val="none" w:sz="0" w:space="0" w:color="auto"/>
        <w:bottom w:val="none" w:sz="0" w:space="0" w:color="auto"/>
        <w:right w:val="none" w:sz="0" w:space="0" w:color="auto"/>
      </w:divBdr>
    </w:div>
    <w:div w:id="1607805248">
      <w:bodyDiv w:val="1"/>
      <w:marLeft w:val="0"/>
      <w:marRight w:val="0"/>
      <w:marTop w:val="0"/>
      <w:marBottom w:val="0"/>
      <w:divBdr>
        <w:top w:val="none" w:sz="0" w:space="0" w:color="auto"/>
        <w:left w:val="none" w:sz="0" w:space="0" w:color="auto"/>
        <w:bottom w:val="none" w:sz="0" w:space="0" w:color="auto"/>
        <w:right w:val="none" w:sz="0" w:space="0" w:color="auto"/>
      </w:divBdr>
    </w:div>
    <w:div w:id="1623340886">
      <w:bodyDiv w:val="1"/>
      <w:marLeft w:val="0"/>
      <w:marRight w:val="0"/>
      <w:marTop w:val="0"/>
      <w:marBottom w:val="0"/>
      <w:divBdr>
        <w:top w:val="none" w:sz="0" w:space="0" w:color="auto"/>
        <w:left w:val="none" w:sz="0" w:space="0" w:color="auto"/>
        <w:bottom w:val="none" w:sz="0" w:space="0" w:color="auto"/>
        <w:right w:val="none" w:sz="0" w:space="0" w:color="auto"/>
      </w:divBdr>
    </w:div>
    <w:div w:id="1623656021">
      <w:bodyDiv w:val="1"/>
      <w:marLeft w:val="0"/>
      <w:marRight w:val="0"/>
      <w:marTop w:val="0"/>
      <w:marBottom w:val="0"/>
      <w:divBdr>
        <w:top w:val="none" w:sz="0" w:space="0" w:color="auto"/>
        <w:left w:val="none" w:sz="0" w:space="0" w:color="auto"/>
        <w:bottom w:val="none" w:sz="0" w:space="0" w:color="auto"/>
        <w:right w:val="none" w:sz="0" w:space="0" w:color="auto"/>
      </w:divBdr>
    </w:div>
    <w:div w:id="1627927448">
      <w:bodyDiv w:val="1"/>
      <w:marLeft w:val="0"/>
      <w:marRight w:val="0"/>
      <w:marTop w:val="0"/>
      <w:marBottom w:val="0"/>
      <w:divBdr>
        <w:top w:val="none" w:sz="0" w:space="0" w:color="auto"/>
        <w:left w:val="none" w:sz="0" w:space="0" w:color="auto"/>
        <w:bottom w:val="none" w:sz="0" w:space="0" w:color="auto"/>
        <w:right w:val="none" w:sz="0" w:space="0" w:color="auto"/>
      </w:divBdr>
    </w:div>
    <w:div w:id="1629387654">
      <w:bodyDiv w:val="1"/>
      <w:marLeft w:val="0"/>
      <w:marRight w:val="0"/>
      <w:marTop w:val="0"/>
      <w:marBottom w:val="0"/>
      <w:divBdr>
        <w:top w:val="none" w:sz="0" w:space="0" w:color="auto"/>
        <w:left w:val="none" w:sz="0" w:space="0" w:color="auto"/>
        <w:bottom w:val="none" w:sz="0" w:space="0" w:color="auto"/>
        <w:right w:val="none" w:sz="0" w:space="0" w:color="auto"/>
      </w:divBdr>
    </w:div>
    <w:div w:id="1634868332">
      <w:bodyDiv w:val="1"/>
      <w:marLeft w:val="0"/>
      <w:marRight w:val="0"/>
      <w:marTop w:val="0"/>
      <w:marBottom w:val="0"/>
      <w:divBdr>
        <w:top w:val="none" w:sz="0" w:space="0" w:color="auto"/>
        <w:left w:val="none" w:sz="0" w:space="0" w:color="auto"/>
        <w:bottom w:val="none" w:sz="0" w:space="0" w:color="auto"/>
        <w:right w:val="none" w:sz="0" w:space="0" w:color="auto"/>
      </w:divBdr>
    </w:div>
    <w:div w:id="1643147742">
      <w:bodyDiv w:val="1"/>
      <w:marLeft w:val="0"/>
      <w:marRight w:val="0"/>
      <w:marTop w:val="0"/>
      <w:marBottom w:val="0"/>
      <w:divBdr>
        <w:top w:val="none" w:sz="0" w:space="0" w:color="auto"/>
        <w:left w:val="none" w:sz="0" w:space="0" w:color="auto"/>
        <w:bottom w:val="none" w:sz="0" w:space="0" w:color="auto"/>
        <w:right w:val="none" w:sz="0" w:space="0" w:color="auto"/>
      </w:divBdr>
    </w:div>
    <w:div w:id="1644189092">
      <w:bodyDiv w:val="1"/>
      <w:marLeft w:val="0"/>
      <w:marRight w:val="0"/>
      <w:marTop w:val="0"/>
      <w:marBottom w:val="0"/>
      <w:divBdr>
        <w:top w:val="none" w:sz="0" w:space="0" w:color="auto"/>
        <w:left w:val="none" w:sz="0" w:space="0" w:color="auto"/>
        <w:bottom w:val="none" w:sz="0" w:space="0" w:color="auto"/>
        <w:right w:val="none" w:sz="0" w:space="0" w:color="auto"/>
      </w:divBdr>
    </w:div>
    <w:div w:id="1658916109">
      <w:bodyDiv w:val="1"/>
      <w:marLeft w:val="0"/>
      <w:marRight w:val="0"/>
      <w:marTop w:val="0"/>
      <w:marBottom w:val="0"/>
      <w:divBdr>
        <w:top w:val="none" w:sz="0" w:space="0" w:color="auto"/>
        <w:left w:val="none" w:sz="0" w:space="0" w:color="auto"/>
        <w:bottom w:val="none" w:sz="0" w:space="0" w:color="auto"/>
        <w:right w:val="none" w:sz="0" w:space="0" w:color="auto"/>
      </w:divBdr>
    </w:div>
    <w:div w:id="1671634352">
      <w:bodyDiv w:val="1"/>
      <w:marLeft w:val="0"/>
      <w:marRight w:val="0"/>
      <w:marTop w:val="0"/>
      <w:marBottom w:val="0"/>
      <w:divBdr>
        <w:top w:val="none" w:sz="0" w:space="0" w:color="auto"/>
        <w:left w:val="none" w:sz="0" w:space="0" w:color="auto"/>
        <w:bottom w:val="none" w:sz="0" w:space="0" w:color="auto"/>
        <w:right w:val="none" w:sz="0" w:space="0" w:color="auto"/>
      </w:divBdr>
    </w:div>
    <w:div w:id="1673683076">
      <w:bodyDiv w:val="1"/>
      <w:marLeft w:val="0"/>
      <w:marRight w:val="0"/>
      <w:marTop w:val="0"/>
      <w:marBottom w:val="0"/>
      <w:divBdr>
        <w:top w:val="none" w:sz="0" w:space="0" w:color="auto"/>
        <w:left w:val="none" w:sz="0" w:space="0" w:color="auto"/>
        <w:bottom w:val="none" w:sz="0" w:space="0" w:color="auto"/>
        <w:right w:val="none" w:sz="0" w:space="0" w:color="auto"/>
      </w:divBdr>
    </w:div>
    <w:div w:id="1683778378">
      <w:bodyDiv w:val="1"/>
      <w:marLeft w:val="0"/>
      <w:marRight w:val="0"/>
      <w:marTop w:val="0"/>
      <w:marBottom w:val="0"/>
      <w:divBdr>
        <w:top w:val="none" w:sz="0" w:space="0" w:color="auto"/>
        <w:left w:val="none" w:sz="0" w:space="0" w:color="auto"/>
        <w:bottom w:val="none" w:sz="0" w:space="0" w:color="auto"/>
        <w:right w:val="none" w:sz="0" w:space="0" w:color="auto"/>
      </w:divBdr>
    </w:div>
    <w:div w:id="1685281564">
      <w:bodyDiv w:val="1"/>
      <w:marLeft w:val="0"/>
      <w:marRight w:val="0"/>
      <w:marTop w:val="0"/>
      <w:marBottom w:val="0"/>
      <w:divBdr>
        <w:top w:val="none" w:sz="0" w:space="0" w:color="auto"/>
        <w:left w:val="none" w:sz="0" w:space="0" w:color="auto"/>
        <w:bottom w:val="none" w:sz="0" w:space="0" w:color="auto"/>
        <w:right w:val="none" w:sz="0" w:space="0" w:color="auto"/>
      </w:divBdr>
    </w:div>
    <w:div w:id="1692487894">
      <w:bodyDiv w:val="1"/>
      <w:marLeft w:val="0"/>
      <w:marRight w:val="0"/>
      <w:marTop w:val="0"/>
      <w:marBottom w:val="0"/>
      <w:divBdr>
        <w:top w:val="none" w:sz="0" w:space="0" w:color="auto"/>
        <w:left w:val="none" w:sz="0" w:space="0" w:color="auto"/>
        <w:bottom w:val="none" w:sz="0" w:space="0" w:color="auto"/>
        <w:right w:val="none" w:sz="0" w:space="0" w:color="auto"/>
      </w:divBdr>
    </w:div>
    <w:div w:id="1695425961">
      <w:bodyDiv w:val="1"/>
      <w:marLeft w:val="0"/>
      <w:marRight w:val="0"/>
      <w:marTop w:val="0"/>
      <w:marBottom w:val="0"/>
      <w:divBdr>
        <w:top w:val="none" w:sz="0" w:space="0" w:color="auto"/>
        <w:left w:val="none" w:sz="0" w:space="0" w:color="auto"/>
        <w:bottom w:val="none" w:sz="0" w:space="0" w:color="auto"/>
        <w:right w:val="none" w:sz="0" w:space="0" w:color="auto"/>
      </w:divBdr>
    </w:div>
    <w:div w:id="1695841020">
      <w:bodyDiv w:val="1"/>
      <w:marLeft w:val="0"/>
      <w:marRight w:val="0"/>
      <w:marTop w:val="0"/>
      <w:marBottom w:val="0"/>
      <w:divBdr>
        <w:top w:val="none" w:sz="0" w:space="0" w:color="auto"/>
        <w:left w:val="none" w:sz="0" w:space="0" w:color="auto"/>
        <w:bottom w:val="none" w:sz="0" w:space="0" w:color="auto"/>
        <w:right w:val="none" w:sz="0" w:space="0" w:color="auto"/>
      </w:divBdr>
    </w:div>
    <w:div w:id="1696736415">
      <w:bodyDiv w:val="1"/>
      <w:marLeft w:val="0"/>
      <w:marRight w:val="0"/>
      <w:marTop w:val="0"/>
      <w:marBottom w:val="0"/>
      <w:divBdr>
        <w:top w:val="none" w:sz="0" w:space="0" w:color="auto"/>
        <w:left w:val="none" w:sz="0" w:space="0" w:color="auto"/>
        <w:bottom w:val="none" w:sz="0" w:space="0" w:color="auto"/>
        <w:right w:val="none" w:sz="0" w:space="0" w:color="auto"/>
      </w:divBdr>
    </w:div>
    <w:div w:id="1698235599">
      <w:bodyDiv w:val="1"/>
      <w:marLeft w:val="0"/>
      <w:marRight w:val="0"/>
      <w:marTop w:val="0"/>
      <w:marBottom w:val="0"/>
      <w:divBdr>
        <w:top w:val="none" w:sz="0" w:space="0" w:color="auto"/>
        <w:left w:val="none" w:sz="0" w:space="0" w:color="auto"/>
        <w:bottom w:val="none" w:sz="0" w:space="0" w:color="auto"/>
        <w:right w:val="none" w:sz="0" w:space="0" w:color="auto"/>
      </w:divBdr>
    </w:div>
    <w:div w:id="1701970364">
      <w:bodyDiv w:val="1"/>
      <w:marLeft w:val="0"/>
      <w:marRight w:val="0"/>
      <w:marTop w:val="0"/>
      <w:marBottom w:val="0"/>
      <w:divBdr>
        <w:top w:val="none" w:sz="0" w:space="0" w:color="auto"/>
        <w:left w:val="none" w:sz="0" w:space="0" w:color="auto"/>
        <w:bottom w:val="none" w:sz="0" w:space="0" w:color="auto"/>
        <w:right w:val="none" w:sz="0" w:space="0" w:color="auto"/>
      </w:divBdr>
    </w:div>
    <w:div w:id="1709646004">
      <w:bodyDiv w:val="1"/>
      <w:marLeft w:val="0"/>
      <w:marRight w:val="0"/>
      <w:marTop w:val="0"/>
      <w:marBottom w:val="0"/>
      <w:divBdr>
        <w:top w:val="none" w:sz="0" w:space="0" w:color="auto"/>
        <w:left w:val="none" w:sz="0" w:space="0" w:color="auto"/>
        <w:bottom w:val="none" w:sz="0" w:space="0" w:color="auto"/>
        <w:right w:val="none" w:sz="0" w:space="0" w:color="auto"/>
      </w:divBdr>
    </w:div>
    <w:div w:id="1710646930">
      <w:bodyDiv w:val="1"/>
      <w:marLeft w:val="0"/>
      <w:marRight w:val="0"/>
      <w:marTop w:val="0"/>
      <w:marBottom w:val="0"/>
      <w:divBdr>
        <w:top w:val="none" w:sz="0" w:space="0" w:color="auto"/>
        <w:left w:val="none" w:sz="0" w:space="0" w:color="auto"/>
        <w:bottom w:val="none" w:sz="0" w:space="0" w:color="auto"/>
        <w:right w:val="none" w:sz="0" w:space="0" w:color="auto"/>
      </w:divBdr>
    </w:div>
    <w:div w:id="1714453903">
      <w:bodyDiv w:val="1"/>
      <w:marLeft w:val="0"/>
      <w:marRight w:val="0"/>
      <w:marTop w:val="0"/>
      <w:marBottom w:val="0"/>
      <w:divBdr>
        <w:top w:val="none" w:sz="0" w:space="0" w:color="auto"/>
        <w:left w:val="none" w:sz="0" w:space="0" w:color="auto"/>
        <w:bottom w:val="none" w:sz="0" w:space="0" w:color="auto"/>
        <w:right w:val="none" w:sz="0" w:space="0" w:color="auto"/>
      </w:divBdr>
    </w:div>
    <w:div w:id="1731422958">
      <w:bodyDiv w:val="1"/>
      <w:marLeft w:val="0"/>
      <w:marRight w:val="0"/>
      <w:marTop w:val="0"/>
      <w:marBottom w:val="0"/>
      <w:divBdr>
        <w:top w:val="none" w:sz="0" w:space="0" w:color="auto"/>
        <w:left w:val="none" w:sz="0" w:space="0" w:color="auto"/>
        <w:bottom w:val="none" w:sz="0" w:space="0" w:color="auto"/>
        <w:right w:val="none" w:sz="0" w:space="0" w:color="auto"/>
      </w:divBdr>
    </w:div>
    <w:div w:id="1731613882">
      <w:bodyDiv w:val="1"/>
      <w:marLeft w:val="0"/>
      <w:marRight w:val="0"/>
      <w:marTop w:val="0"/>
      <w:marBottom w:val="0"/>
      <w:divBdr>
        <w:top w:val="none" w:sz="0" w:space="0" w:color="auto"/>
        <w:left w:val="none" w:sz="0" w:space="0" w:color="auto"/>
        <w:bottom w:val="none" w:sz="0" w:space="0" w:color="auto"/>
        <w:right w:val="none" w:sz="0" w:space="0" w:color="auto"/>
      </w:divBdr>
    </w:div>
    <w:div w:id="1734431450">
      <w:bodyDiv w:val="1"/>
      <w:marLeft w:val="0"/>
      <w:marRight w:val="0"/>
      <w:marTop w:val="0"/>
      <w:marBottom w:val="0"/>
      <w:divBdr>
        <w:top w:val="none" w:sz="0" w:space="0" w:color="auto"/>
        <w:left w:val="none" w:sz="0" w:space="0" w:color="auto"/>
        <w:bottom w:val="none" w:sz="0" w:space="0" w:color="auto"/>
        <w:right w:val="none" w:sz="0" w:space="0" w:color="auto"/>
      </w:divBdr>
    </w:div>
    <w:div w:id="1740519956">
      <w:bodyDiv w:val="1"/>
      <w:marLeft w:val="0"/>
      <w:marRight w:val="0"/>
      <w:marTop w:val="0"/>
      <w:marBottom w:val="0"/>
      <w:divBdr>
        <w:top w:val="none" w:sz="0" w:space="0" w:color="auto"/>
        <w:left w:val="none" w:sz="0" w:space="0" w:color="auto"/>
        <w:bottom w:val="none" w:sz="0" w:space="0" w:color="auto"/>
        <w:right w:val="none" w:sz="0" w:space="0" w:color="auto"/>
      </w:divBdr>
    </w:div>
    <w:div w:id="1741516883">
      <w:bodyDiv w:val="1"/>
      <w:marLeft w:val="0"/>
      <w:marRight w:val="0"/>
      <w:marTop w:val="0"/>
      <w:marBottom w:val="0"/>
      <w:divBdr>
        <w:top w:val="none" w:sz="0" w:space="0" w:color="auto"/>
        <w:left w:val="none" w:sz="0" w:space="0" w:color="auto"/>
        <w:bottom w:val="none" w:sz="0" w:space="0" w:color="auto"/>
        <w:right w:val="none" w:sz="0" w:space="0" w:color="auto"/>
      </w:divBdr>
    </w:div>
    <w:div w:id="1752770993">
      <w:bodyDiv w:val="1"/>
      <w:marLeft w:val="0"/>
      <w:marRight w:val="0"/>
      <w:marTop w:val="0"/>
      <w:marBottom w:val="0"/>
      <w:divBdr>
        <w:top w:val="none" w:sz="0" w:space="0" w:color="auto"/>
        <w:left w:val="none" w:sz="0" w:space="0" w:color="auto"/>
        <w:bottom w:val="none" w:sz="0" w:space="0" w:color="auto"/>
        <w:right w:val="none" w:sz="0" w:space="0" w:color="auto"/>
      </w:divBdr>
    </w:div>
    <w:div w:id="1754008768">
      <w:bodyDiv w:val="1"/>
      <w:marLeft w:val="0"/>
      <w:marRight w:val="0"/>
      <w:marTop w:val="0"/>
      <w:marBottom w:val="0"/>
      <w:divBdr>
        <w:top w:val="none" w:sz="0" w:space="0" w:color="auto"/>
        <w:left w:val="none" w:sz="0" w:space="0" w:color="auto"/>
        <w:bottom w:val="none" w:sz="0" w:space="0" w:color="auto"/>
        <w:right w:val="none" w:sz="0" w:space="0" w:color="auto"/>
      </w:divBdr>
    </w:div>
    <w:div w:id="1754273637">
      <w:bodyDiv w:val="1"/>
      <w:marLeft w:val="0"/>
      <w:marRight w:val="0"/>
      <w:marTop w:val="0"/>
      <w:marBottom w:val="0"/>
      <w:divBdr>
        <w:top w:val="none" w:sz="0" w:space="0" w:color="auto"/>
        <w:left w:val="none" w:sz="0" w:space="0" w:color="auto"/>
        <w:bottom w:val="none" w:sz="0" w:space="0" w:color="auto"/>
        <w:right w:val="none" w:sz="0" w:space="0" w:color="auto"/>
      </w:divBdr>
    </w:div>
    <w:div w:id="1758361296">
      <w:bodyDiv w:val="1"/>
      <w:marLeft w:val="0"/>
      <w:marRight w:val="0"/>
      <w:marTop w:val="0"/>
      <w:marBottom w:val="0"/>
      <w:divBdr>
        <w:top w:val="none" w:sz="0" w:space="0" w:color="auto"/>
        <w:left w:val="none" w:sz="0" w:space="0" w:color="auto"/>
        <w:bottom w:val="none" w:sz="0" w:space="0" w:color="auto"/>
        <w:right w:val="none" w:sz="0" w:space="0" w:color="auto"/>
      </w:divBdr>
    </w:div>
    <w:div w:id="1758749058">
      <w:bodyDiv w:val="1"/>
      <w:marLeft w:val="0"/>
      <w:marRight w:val="0"/>
      <w:marTop w:val="0"/>
      <w:marBottom w:val="0"/>
      <w:divBdr>
        <w:top w:val="none" w:sz="0" w:space="0" w:color="auto"/>
        <w:left w:val="none" w:sz="0" w:space="0" w:color="auto"/>
        <w:bottom w:val="none" w:sz="0" w:space="0" w:color="auto"/>
        <w:right w:val="none" w:sz="0" w:space="0" w:color="auto"/>
      </w:divBdr>
    </w:div>
    <w:div w:id="1760322439">
      <w:bodyDiv w:val="1"/>
      <w:marLeft w:val="0"/>
      <w:marRight w:val="0"/>
      <w:marTop w:val="0"/>
      <w:marBottom w:val="0"/>
      <w:divBdr>
        <w:top w:val="none" w:sz="0" w:space="0" w:color="auto"/>
        <w:left w:val="none" w:sz="0" w:space="0" w:color="auto"/>
        <w:bottom w:val="none" w:sz="0" w:space="0" w:color="auto"/>
        <w:right w:val="none" w:sz="0" w:space="0" w:color="auto"/>
      </w:divBdr>
    </w:div>
    <w:div w:id="1762213001">
      <w:bodyDiv w:val="1"/>
      <w:marLeft w:val="0"/>
      <w:marRight w:val="0"/>
      <w:marTop w:val="0"/>
      <w:marBottom w:val="0"/>
      <w:divBdr>
        <w:top w:val="none" w:sz="0" w:space="0" w:color="auto"/>
        <w:left w:val="none" w:sz="0" w:space="0" w:color="auto"/>
        <w:bottom w:val="none" w:sz="0" w:space="0" w:color="auto"/>
        <w:right w:val="none" w:sz="0" w:space="0" w:color="auto"/>
      </w:divBdr>
    </w:div>
    <w:div w:id="1764377383">
      <w:bodyDiv w:val="1"/>
      <w:marLeft w:val="0"/>
      <w:marRight w:val="0"/>
      <w:marTop w:val="0"/>
      <w:marBottom w:val="0"/>
      <w:divBdr>
        <w:top w:val="none" w:sz="0" w:space="0" w:color="auto"/>
        <w:left w:val="none" w:sz="0" w:space="0" w:color="auto"/>
        <w:bottom w:val="none" w:sz="0" w:space="0" w:color="auto"/>
        <w:right w:val="none" w:sz="0" w:space="0" w:color="auto"/>
      </w:divBdr>
    </w:div>
    <w:div w:id="1765540794">
      <w:bodyDiv w:val="1"/>
      <w:marLeft w:val="0"/>
      <w:marRight w:val="0"/>
      <w:marTop w:val="0"/>
      <w:marBottom w:val="0"/>
      <w:divBdr>
        <w:top w:val="none" w:sz="0" w:space="0" w:color="auto"/>
        <w:left w:val="none" w:sz="0" w:space="0" w:color="auto"/>
        <w:bottom w:val="none" w:sz="0" w:space="0" w:color="auto"/>
        <w:right w:val="none" w:sz="0" w:space="0" w:color="auto"/>
      </w:divBdr>
    </w:div>
    <w:div w:id="1773276353">
      <w:bodyDiv w:val="1"/>
      <w:marLeft w:val="0"/>
      <w:marRight w:val="0"/>
      <w:marTop w:val="0"/>
      <w:marBottom w:val="0"/>
      <w:divBdr>
        <w:top w:val="none" w:sz="0" w:space="0" w:color="auto"/>
        <w:left w:val="none" w:sz="0" w:space="0" w:color="auto"/>
        <w:bottom w:val="none" w:sz="0" w:space="0" w:color="auto"/>
        <w:right w:val="none" w:sz="0" w:space="0" w:color="auto"/>
      </w:divBdr>
    </w:div>
    <w:div w:id="1779523810">
      <w:bodyDiv w:val="1"/>
      <w:marLeft w:val="0"/>
      <w:marRight w:val="0"/>
      <w:marTop w:val="0"/>
      <w:marBottom w:val="0"/>
      <w:divBdr>
        <w:top w:val="none" w:sz="0" w:space="0" w:color="auto"/>
        <w:left w:val="none" w:sz="0" w:space="0" w:color="auto"/>
        <w:bottom w:val="none" w:sz="0" w:space="0" w:color="auto"/>
        <w:right w:val="none" w:sz="0" w:space="0" w:color="auto"/>
      </w:divBdr>
    </w:div>
    <w:div w:id="1784762316">
      <w:bodyDiv w:val="1"/>
      <w:marLeft w:val="0"/>
      <w:marRight w:val="0"/>
      <w:marTop w:val="0"/>
      <w:marBottom w:val="0"/>
      <w:divBdr>
        <w:top w:val="none" w:sz="0" w:space="0" w:color="auto"/>
        <w:left w:val="none" w:sz="0" w:space="0" w:color="auto"/>
        <w:bottom w:val="none" w:sz="0" w:space="0" w:color="auto"/>
        <w:right w:val="none" w:sz="0" w:space="0" w:color="auto"/>
      </w:divBdr>
    </w:div>
    <w:div w:id="1793665690">
      <w:bodyDiv w:val="1"/>
      <w:marLeft w:val="0"/>
      <w:marRight w:val="0"/>
      <w:marTop w:val="0"/>
      <w:marBottom w:val="0"/>
      <w:divBdr>
        <w:top w:val="none" w:sz="0" w:space="0" w:color="auto"/>
        <w:left w:val="none" w:sz="0" w:space="0" w:color="auto"/>
        <w:bottom w:val="none" w:sz="0" w:space="0" w:color="auto"/>
        <w:right w:val="none" w:sz="0" w:space="0" w:color="auto"/>
      </w:divBdr>
    </w:div>
    <w:div w:id="1794473284">
      <w:bodyDiv w:val="1"/>
      <w:marLeft w:val="0"/>
      <w:marRight w:val="0"/>
      <w:marTop w:val="0"/>
      <w:marBottom w:val="0"/>
      <w:divBdr>
        <w:top w:val="none" w:sz="0" w:space="0" w:color="auto"/>
        <w:left w:val="none" w:sz="0" w:space="0" w:color="auto"/>
        <w:bottom w:val="none" w:sz="0" w:space="0" w:color="auto"/>
        <w:right w:val="none" w:sz="0" w:space="0" w:color="auto"/>
      </w:divBdr>
    </w:div>
    <w:div w:id="1801916327">
      <w:bodyDiv w:val="1"/>
      <w:marLeft w:val="0"/>
      <w:marRight w:val="0"/>
      <w:marTop w:val="0"/>
      <w:marBottom w:val="0"/>
      <w:divBdr>
        <w:top w:val="none" w:sz="0" w:space="0" w:color="auto"/>
        <w:left w:val="none" w:sz="0" w:space="0" w:color="auto"/>
        <w:bottom w:val="none" w:sz="0" w:space="0" w:color="auto"/>
        <w:right w:val="none" w:sz="0" w:space="0" w:color="auto"/>
      </w:divBdr>
    </w:div>
    <w:div w:id="1801922220">
      <w:bodyDiv w:val="1"/>
      <w:marLeft w:val="0"/>
      <w:marRight w:val="0"/>
      <w:marTop w:val="0"/>
      <w:marBottom w:val="0"/>
      <w:divBdr>
        <w:top w:val="none" w:sz="0" w:space="0" w:color="auto"/>
        <w:left w:val="none" w:sz="0" w:space="0" w:color="auto"/>
        <w:bottom w:val="none" w:sz="0" w:space="0" w:color="auto"/>
        <w:right w:val="none" w:sz="0" w:space="0" w:color="auto"/>
      </w:divBdr>
    </w:div>
    <w:div w:id="1803183482">
      <w:bodyDiv w:val="1"/>
      <w:marLeft w:val="0"/>
      <w:marRight w:val="0"/>
      <w:marTop w:val="0"/>
      <w:marBottom w:val="0"/>
      <w:divBdr>
        <w:top w:val="none" w:sz="0" w:space="0" w:color="auto"/>
        <w:left w:val="none" w:sz="0" w:space="0" w:color="auto"/>
        <w:bottom w:val="none" w:sz="0" w:space="0" w:color="auto"/>
        <w:right w:val="none" w:sz="0" w:space="0" w:color="auto"/>
      </w:divBdr>
    </w:div>
    <w:div w:id="1818644760">
      <w:bodyDiv w:val="1"/>
      <w:marLeft w:val="0"/>
      <w:marRight w:val="0"/>
      <w:marTop w:val="0"/>
      <w:marBottom w:val="0"/>
      <w:divBdr>
        <w:top w:val="none" w:sz="0" w:space="0" w:color="auto"/>
        <w:left w:val="none" w:sz="0" w:space="0" w:color="auto"/>
        <w:bottom w:val="none" w:sz="0" w:space="0" w:color="auto"/>
        <w:right w:val="none" w:sz="0" w:space="0" w:color="auto"/>
      </w:divBdr>
    </w:div>
    <w:div w:id="1819033013">
      <w:bodyDiv w:val="1"/>
      <w:marLeft w:val="0"/>
      <w:marRight w:val="0"/>
      <w:marTop w:val="0"/>
      <w:marBottom w:val="0"/>
      <w:divBdr>
        <w:top w:val="none" w:sz="0" w:space="0" w:color="auto"/>
        <w:left w:val="none" w:sz="0" w:space="0" w:color="auto"/>
        <w:bottom w:val="none" w:sz="0" w:space="0" w:color="auto"/>
        <w:right w:val="none" w:sz="0" w:space="0" w:color="auto"/>
      </w:divBdr>
    </w:div>
    <w:div w:id="1835949102">
      <w:bodyDiv w:val="1"/>
      <w:marLeft w:val="0"/>
      <w:marRight w:val="0"/>
      <w:marTop w:val="0"/>
      <w:marBottom w:val="0"/>
      <w:divBdr>
        <w:top w:val="none" w:sz="0" w:space="0" w:color="auto"/>
        <w:left w:val="none" w:sz="0" w:space="0" w:color="auto"/>
        <w:bottom w:val="none" w:sz="0" w:space="0" w:color="auto"/>
        <w:right w:val="none" w:sz="0" w:space="0" w:color="auto"/>
      </w:divBdr>
    </w:div>
    <w:div w:id="1839734366">
      <w:bodyDiv w:val="1"/>
      <w:marLeft w:val="0"/>
      <w:marRight w:val="0"/>
      <w:marTop w:val="0"/>
      <w:marBottom w:val="0"/>
      <w:divBdr>
        <w:top w:val="none" w:sz="0" w:space="0" w:color="auto"/>
        <w:left w:val="none" w:sz="0" w:space="0" w:color="auto"/>
        <w:bottom w:val="none" w:sz="0" w:space="0" w:color="auto"/>
        <w:right w:val="none" w:sz="0" w:space="0" w:color="auto"/>
      </w:divBdr>
    </w:div>
    <w:div w:id="1841308375">
      <w:bodyDiv w:val="1"/>
      <w:marLeft w:val="0"/>
      <w:marRight w:val="0"/>
      <w:marTop w:val="0"/>
      <w:marBottom w:val="0"/>
      <w:divBdr>
        <w:top w:val="none" w:sz="0" w:space="0" w:color="auto"/>
        <w:left w:val="none" w:sz="0" w:space="0" w:color="auto"/>
        <w:bottom w:val="none" w:sz="0" w:space="0" w:color="auto"/>
        <w:right w:val="none" w:sz="0" w:space="0" w:color="auto"/>
      </w:divBdr>
    </w:div>
    <w:div w:id="1854605531">
      <w:bodyDiv w:val="1"/>
      <w:marLeft w:val="0"/>
      <w:marRight w:val="0"/>
      <w:marTop w:val="0"/>
      <w:marBottom w:val="0"/>
      <w:divBdr>
        <w:top w:val="none" w:sz="0" w:space="0" w:color="auto"/>
        <w:left w:val="none" w:sz="0" w:space="0" w:color="auto"/>
        <w:bottom w:val="none" w:sz="0" w:space="0" w:color="auto"/>
        <w:right w:val="none" w:sz="0" w:space="0" w:color="auto"/>
      </w:divBdr>
    </w:div>
    <w:div w:id="1855000503">
      <w:bodyDiv w:val="1"/>
      <w:marLeft w:val="0"/>
      <w:marRight w:val="0"/>
      <w:marTop w:val="0"/>
      <w:marBottom w:val="0"/>
      <w:divBdr>
        <w:top w:val="none" w:sz="0" w:space="0" w:color="auto"/>
        <w:left w:val="none" w:sz="0" w:space="0" w:color="auto"/>
        <w:bottom w:val="none" w:sz="0" w:space="0" w:color="auto"/>
        <w:right w:val="none" w:sz="0" w:space="0" w:color="auto"/>
      </w:divBdr>
    </w:div>
    <w:div w:id="1857577693">
      <w:bodyDiv w:val="1"/>
      <w:marLeft w:val="0"/>
      <w:marRight w:val="0"/>
      <w:marTop w:val="0"/>
      <w:marBottom w:val="0"/>
      <w:divBdr>
        <w:top w:val="none" w:sz="0" w:space="0" w:color="auto"/>
        <w:left w:val="none" w:sz="0" w:space="0" w:color="auto"/>
        <w:bottom w:val="none" w:sz="0" w:space="0" w:color="auto"/>
        <w:right w:val="none" w:sz="0" w:space="0" w:color="auto"/>
      </w:divBdr>
    </w:div>
    <w:div w:id="1867594045">
      <w:bodyDiv w:val="1"/>
      <w:marLeft w:val="0"/>
      <w:marRight w:val="0"/>
      <w:marTop w:val="0"/>
      <w:marBottom w:val="0"/>
      <w:divBdr>
        <w:top w:val="none" w:sz="0" w:space="0" w:color="auto"/>
        <w:left w:val="none" w:sz="0" w:space="0" w:color="auto"/>
        <w:bottom w:val="none" w:sz="0" w:space="0" w:color="auto"/>
        <w:right w:val="none" w:sz="0" w:space="0" w:color="auto"/>
      </w:divBdr>
    </w:div>
    <w:div w:id="1867714197">
      <w:bodyDiv w:val="1"/>
      <w:marLeft w:val="0"/>
      <w:marRight w:val="0"/>
      <w:marTop w:val="0"/>
      <w:marBottom w:val="0"/>
      <w:divBdr>
        <w:top w:val="none" w:sz="0" w:space="0" w:color="auto"/>
        <w:left w:val="none" w:sz="0" w:space="0" w:color="auto"/>
        <w:bottom w:val="none" w:sz="0" w:space="0" w:color="auto"/>
        <w:right w:val="none" w:sz="0" w:space="0" w:color="auto"/>
      </w:divBdr>
    </w:div>
    <w:div w:id="1867866783">
      <w:bodyDiv w:val="1"/>
      <w:marLeft w:val="0"/>
      <w:marRight w:val="0"/>
      <w:marTop w:val="0"/>
      <w:marBottom w:val="0"/>
      <w:divBdr>
        <w:top w:val="none" w:sz="0" w:space="0" w:color="auto"/>
        <w:left w:val="none" w:sz="0" w:space="0" w:color="auto"/>
        <w:bottom w:val="none" w:sz="0" w:space="0" w:color="auto"/>
        <w:right w:val="none" w:sz="0" w:space="0" w:color="auto"/>
      </w:divBdr>
    </w:div>
    <w:div w:id="1872112409">
      <w:bodyDiv w:val="1"/>
      <w:marLeft w:val="0"/>
      <w:marRight w:val="0"/>
      <w:marTop w:val="0"/>
      <w:marBottom w:val="0"/>
      <w:divBdr>
        <w:top w:val="none" w:sz="0" w:space="0" w:color="auto"/>
        <w:left w:val="none" w:sz="0" w:space="0" w:color="auto"/>
        <w:bottom w:val="none" w:sz="0" w:space="0" w:color="auto"/>
        <w:right w:val="none" w:sz="0" w:space="0" w:color="auto"/>
      </w:divBdr>
    </w:div>
    <w:div w:id="1874421461">
      <w:bodyDiv w:val="1"/>
      <w:marLeft w:val="0"/>
      <w:marRight w:val="0"/>
      <w:marTop w:val="0"/>
      <w:marBottom w:val="0"/>
      <w:divBdr>
        <w:top w:val="none" w:sz="0" w:space="0" w:color="auto"/>
        <w:left w:val="none" w:sz="0" w:space="0" w:color="auto"/>
        <w:bottom w:val="none" w:sz="0" w:space="0" w:color="auto"/>
        <w:right w:val="none" w:sz="0" w:space="0" w:color="auto"/>
      </w:divBdr>
    </w:div>
    <w:div w:id="1877738309">
      <w:bodyDiv w:val="1"/>
      <w:marLeft w:val="0"/>
      <w:marRight w:val="0"/>
      <w:marTop w:val="0"/>
      <w:marBottom w:val="0"/>
      <w:divBdr>
        <w:top w:val="none" w:sz="0" w:space="0" w:color="auto"/>
        <w:left w:val="none" w:sz="0" w:space="0" w:color="auto"/>
        <w:bottom w:val="none" w:sz="0" w:space="0" w:color="auto"/>
        <w:right w:val="none" w:sz="0" w:space="0" w:color="auto"/>
      </w:divBdr>
    </w:div>
    <w:div w:id="1887333655">
      <w:bodyDiv w:val="1"/>
      <w:marLeft w:val="0"/>
      <w:marRight w:val="0"/>
      <w:marTop w:val="0"/>
      <w:marBottom w:val="0"/>
      <w:divBdr>
        <w:top w:val="none" w:sz="0" w:space="0" w:color="auto"/>
        <w:left w:val="none" w:sz="0" w:space="0" w:color="auto"/>
        <w:bottom w:val="none" w:sz="0" w:space="0" w:color="auto"/>
        <w:right w:val="none" w:sz="0" w:space="0" w:color="auto"/>
      </w:divBdr>
    </w:div>
    <w:div w:id="1889678711">
      <w:bodyDiv w:val="1"/>
      <w:marLeft w:val="0"/>
      <w:marRight w:val="0"/>
      <w:marTop w:val="0"/>
      <w:marBottom w:val="0"/>
      <w:divBdr>
        <w:top w:val="none" w:sz="0" w:space="0" w:color="auto"/>
        <w:left w:val="none" w:sz="0" w:space="0" w:color="auto"/>
        <w:bottom w:val="none" w:sz="0" w:space="0" w:color="auto"/>
        <w:right w:val="none" w:sz="0" w:space="0" w:color="auto"/>
      </w:divBdr>
    </w:div>
    <w:div w:id="1894148871">
      <w:bodyDiv w:val="1"/>
      <w:marLeft w:val="0"/>
      <w:marRight w:val="0"/>
      <w:marTop w:val="0"/>
      <w:marBottom w:val="0"/>
      <w:divBdr>
        <w:top w:val="none" w:sz="0" w:space="0" w:color="auto"/>
        <w:left w:val="none" w:sz="0" w:space="0" w:color="auto"/>
        <w:bottom w:val="none" w:sz="0" w:space="0" w:color="auto"/>
        <w:right w:val="none" w:sz="0" w:space="0" w:color="auto"/>
      </w:divBdr>
    </w:div>
    <w:div w:id="1902280488">
      <w:bodyDiv w:val="1"/>
      <w:marLeft w:val="0"/>
      <w:marRight w:val="0"/>
      <w:marTop w:val="0"/>
      <w:marBottom w:val="0"/>
      <w:divBdr>
        <w:top w:val="none" w:sz="0" w:space="0" w:color="auto"/>
        <w:left w:val="none" w:sz="0" w:space="0" w:color="auto"/>
        <w:bottom w:val="none" w:sz="0" w:space="0" w:color="auto"/>
        <w:right w:val="none" w:sz="0" w:space="0" w:color="auto"/>
      </w:divBdr>
    </w:div>
    <w:div w:id="1907300143">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19750036">
      <w:bodyDiv w:val="1"/>
      <w:marLeft w:val="0"/>
      <w:marRight w:val="0"/>
      <w:marTop w:val="0"/>
      <w:marBottom w:val="0"/>
      <w:divBdr>
        <w:top w:val="none" w:sz="0" w:space="0" w:color="auto"/>
        <w:left w:val="none" w:sz="0" w:space="0" w:color="auto"/>
        <w:bottom w:val="none" w:sz="0" w:space="0" w:color="auto"/>
        <w:right w:val="none" w:sz="0" w:space="0" w:color="auto"/>
      </w:divBdr>
    </w:div>
    <w:div w:id="1920601293">
      <w:bodyDiv w:val="1"/>
      <w:marLeft w:val="0"/>
      <w:marRight w:val="0"/>
      <w:marTop w:val="0"/>
      <w:marBottom w:val="0"/>
      <w:divBdr>
        <w:top w:val="none" w:sz="0" w:space="0" w:color="auto"/>
        <w:left w:val="none" w:sz="0" w:space="0" w:color="auto"/>
        <w:bottom w:val="none" w:sz="0" w:space="0" w:color="auto"/>
        <w:right w:val="none" w:sz="0" w:space="0" w:color="auto"/>
      </w:divBdr>
    </w:div>
    <w:div w:id="1929346648">
      <w:bodyDiv w:val="1"/>
      <w:marLeft w:val="0"/>
      <w:marRight w:val="0"/>
      <w:marTop w:val="0"/>
      <w:marBottom w:val="0"/>
      <w:divBdr>
        <w:top w:val="none" w:sz="0" w:space="0" w:color="auto"/>
        <w:left w:val="none" w:sz="0" w:space="0" w:color="auto"/>
        <w:bottom w:val="none" w:sz="0" w:space="0" w:color="auto"/>
        <w:right w:val="none" w:sz="0" w:space="0" w:color="auto"/>
      </w:divBdr>
    </w:div>
    <w:div w:id="1939942860">
      <w:bodyDiv w:val="1"/>
      <w:marLeft w:val="0"/>
      <w:marRight w:val="0"/>
      <w:marTop w:val="0"/>
      <w:marBottom w:val="0"/>
      <w:divBdr>
        <w:top w:val="none" w:sz="0" w:space="0" w:color="auto"/>
        <w:left w:val="none" w:sz="0" w:space="0" w:color="auto"/>
        <w:bottom w:val="none" w:sz="0" w:space="0" w:color="auto"/>
        <w:right w:val="none" w:sz="0" w:space="0" w:color="auto"/>
      </w:divBdr>
    </w:div>
    <w:div w:id="1954634159">
      <w:bodyDiv w:val="1"/>
      <w:marLeft w:val="0"/>
      <w:marRight w:val="0"/>
      <w:marTop w:val="0"/>
      <w:marBottom w:val="0"/>
      <w:divBdr>
        <w:top w:val="none" w:sz="0" w:space="0" w:color="auto"/>
        <w:left w:val="none" w:sz="0" w:space="0" w:color="auto"/>
        <w:bottom w:val="none" w:sz="0" w:space="0" w:color="auto"/>
        <w:right w:val="none" w:sz="0" w:space="0" w:color="auto"/>
      </w:divBdr>
    </w:div>
    <w:div w:id="1969817357">
      <w:bodyDiv w:val="1"/>
      <w:marLeft w:val="0"/>
      <w:marRight w:val="0"/>
      <w:marTop w:val="0"/>
      <w:marBottom w:val="0"/>
      <w:divBdr>
        <w:top w:val="none" w:sz="0" w:space="0" w:color="auto"/>
        <w:left w:val="none" w:sz="0" w:space="0" w:color="auto"/>
        <w:bottom w:val="none" w:sz="0" w:space="0" w:color="auto"/>
        <w:right w:val="none" w:sz="0" w:space="0" w:color="auto"/>
      </w:divBdr>
    </w:div>
    <w:div w:id="1976829172">
      <w:bodyDiv w:val="1"/>
      <w:marLeft w:val="0"/>
      <w:marRight w:val="0"/>
      <w:marTop w:val="0"/>
      <w:marBottom w:val="0"/>
      <w:divBdr>
        <w:top w:val="none" w:sz="0" w:space="0" w:color="auto"/>
        <w:left w:val="none" w:sz="0" w:space="0" w:color="auto"/>
        <w:bottom w:val="none" w:sz="0" w:space="0" w:color="auto"/>
        <w:right w:val="none" w:sz="0" w:space="0" w:color="auto"/>
      </w:divBdr>
    </w:div>
    <w:div w:id="1982465209">
      <w:bodyDiv w:val="1"/>
      <w:marLeft w:val="0"/>
      <w:marRight w:val="0"/>
      <w:marTop w:val="0"/>
      <w:marBottom w:val="0"/>
      <w:divBdr>
        <w:top w:val="none" w:sz="0" w:space="0" w:color="auto"/>
        <w:left w:val="none" w:sz="0" w:space="0" w:color="auto"/>
        <w:bottom w:val="none" w:sz="0" w:space="0" w:color="auto"/>
        <w:right w:val="none" w:sz="0" w:space="0" w:color="auto"/>
      </w:divBdr>
    </w:div>
    <w:div w:id="1995986580">
      <w:bodyDiv w:val="1"/>
      <w:marLeft w:val="0"/>
      <w:marRight w:val="0"/>
      <w:marTop w:val="0"/>
      <w:marBottom w:val="0"/>
      <w:divBdr>
        <w:top w:val="none" w:sz="0" w:space="0" w:color="auto"/>
        <w:left w:val="none" w:sz="0" w:space="0" w:color="auto"/>
        <w:bottom w:val="none" w:sz="0" w:space="0" w:color="auto"/>
        <w:right w:val="none" w:sz="0" w:space="0" w:color="auto"/>
      </w:divBdr>
    </w:div>
    <w:div w:id="2001152195">
      <w:bodyDiv w:val="1"/>
      <w:marLeft w:val="0"/>
      <w:marRight w:val="0"/>
      <w:marTop w:val="0"/>
      <w:marBottom w:val="0"/>
      <w:divBdr>
        <w:top w:val="none" w:sz="0" w:space="0" w:color="auto"/>
        <w:left w:val="none" w:sz="0" w:space="0" w:color="auto"/>
        <w:bottom w:val="none" w:sz="0" w:space="0" w:color="auto"/>
        <w:right w:val="none" w:sz="0" w:space="0" w:color="auto"/>
      </w:divBdr>
    </w:div>
    <w:div w:id="2034113398">
      <w:bodyDiv w:val="1"/>
      <w:marLeft w:val="0"/>
      <w:marRight w:val="0"/>
      <w:marTop w:val="0"/>
      <w:marBottom w:val="0"/>
      <w:divBdr>
        <w:top w:val="none" w:sz="0" w:space="0" w:color="auto"/>
        <w:left w:val="none" w:sz="0" w:space="0" w:color="auto"/>
        <w:bottom w:val="none" w:sz="0" w:space="0" w:color="auto"/>
        <w:right w:val="none" w:sz="0" w:space="0" w:color="auto"/>
      </w:divBdr>
    </w:div>
    <w:div w:id="2038775548">
      <w:bodyDiv w:val="1"/>
      <w:marLeft w:val="0"/>
      <w:marRight w:val="0"/>
      <w:marTop w:val="0"/>
      <w:marBottom w:val="0"/>
      <w:divBdr>
        <w:top w:val="none" w:sz="0" w:space="0" w:color="auto"/>
        <w:left w:val="none" w:sz="0" w:space="0" w:color="auto"/>
        <w:bottom w:val="none" w:sz="0" w:space="0" w:color="auto"/>
        <w:right w:val="none" w:sz="0" w:space="0" w:color="auto"/>
      </w:divBdr>
    </w:div>
    <w:div w:id="2041583149">
      <w:bodyDiv w:val="1"/>
      <w:marLeft w:val="0"/>
      <w:marRight w:val="0"/>
      <w:marTop w:val="0"/>
      <w:marBottom w:val="0"/>
      <w:divBdr>
        <w:top w:val="none" w:sz="0" w:space="0" w:color="auto"/>
        <w:left w:val="none" w:sz="0" w:space="0" w:color="auto"/>
        <w:bottom w:val="none" w:sz="0" w:space="0" w:color="auto"/>
        <w:right w:val="none" w:sz="0" w:space="0" w:color="auto"/>
      </w:divBdr>
    </w:div>
    <w:div w:id="2044599523">
      <w:bodyDiv w:val="1"/>
      <w:marLeft w:val="0"/>
      <w:marRight w:val="0"/>
      <w:marTop w:val="0"/>
      <w:marBottom w:val="0"/>
      <w:divBdr>
        <w:top w:val="none" w:sz="0" w:space="0" w:color="auto"/>
        <w:left w:val="none" w:sz="0" w:space="0" w:color="auto"/>
        <w:bottom w:val="none" w:sz="0" w:space="0" w:color="auto"/>
        <w:right w:val="none" w:sz="0" w:space="0" w:color="auto"/>
      </w:divBdr>
    </w:div>
    <w:div w:id="2044818197">
      <w:bodyDiv w:val="1"/>
      <w:marLeft w:val="0"/>
      <w:marRight w:val="0"/>
      <w:marTop w:val="0"/>
      <w:marBottom w:val="0"/>
      <w:divBdr>
        <w:top w:val="none" w:sz="0" w:space="0" w:color="auto"/>
        <w:left w:val="none" w:sz="0" w:space="0" w:color="auto"/>
        <w:bottom w:val="none" w:sz="0" w:space="0" w:color="auto"/>
        <w:right w:val="none" w:sz="0" w:space="0" w:color="auto"/>
      </w:divBdr>
    </w:div>
    <w:div w:id="2049909675">
      <w:bodyDiv w:val="1"/>
      <w:marLeft w:val="0"/>
      <w:marRight w:val="0"/>
      <w:marTop w:val="0"/>
      <w:marBottom w:val="0"/>
      <w:divBdr>
        <w:top w:val="none" w:sz="0" w:space="0" w:color="auto"/>
        <w:left w:val="none" w:sz="0" w:space="0" w:color="auto"/>
        <w:bottom w:val="none" w:sz="0" w:space="0" w:color="auto"/>
        <w:right w:val="none" w:sz="0" w:space="0" w:color="auto"/>
      </w:divBdr>
    </w:div>
    <w:div w:id="2060743396">
      <w:bodyDiv w:val="1"/>
      <w:marLeft w:val="0"/>
      <w:marRight w:val="0"/>
      <w:marTop w:val="0"/>
      <w:marBottom w:val="0"/>
      <w:divBdr>
        <w:top w:val="none" w:sz="0" w:space="0" w:color="auto"/>
        <w:left w:val="none" w:sz="0" w:space="0" w:color="auto"/>
        <w:bottom w:val="none" w:sz="0" w:space="0" w:color="auto"/>
        <w:right w:val="none" w:sz="0" w:space="0" w:color="auto"/>
      </w:divBdr>
    </w:div>
    <w:div w:id="2061130468">
      <w:bodyDiv w:val="1"/>
      <w:marLeft w:val="0"/>
      <w:marRight w:val="0"/>
      <w:marTop w:val="0"/>
      <w:marBottom w:val="0"/>
      <w:divBdr>
        <w:top w:val="none" w:sz="0" w:space="0" w:color="auto"/>
        <w:left w:val="none" w:sz="0" w:space="0" w:color="auto"/>
        <w:bottom w:val="none" w:sz="0" w:space="0" w:color="auto"/>
        <w:right w:val="none" w:sz="0" w:space="0" w:color="auto"/>
      </w:divBdr>
    </w:div>
    <w:div w:id="2074355003">
      <w:bodyDiv w:val="1"/>
      <w:marLeft w:val="0"/>
      <w:marRight w:val="0"/>
      <w:marTop w:val="0"/>
      <w:marBottom w:val="0"/>
      <w:divBdr>
        <w:top w:val="none" w:sz="0" w:space="0" w:color="auto"/>
        <w:left w:val="none" w:sz="0" w:space="0" w:color="auto"/>
        <w:bottom w:val="none" w:sz="0" w:space="0" w:color="auto"/>
        <w:right w:val="none" w:sz="0" w:space="0" w:color="auto"/>
      </w:divBdr>
    </w:div>
    <w:div w:id="2078477087">
      <w:bodyDiv w:val="1"/>
      <w:marLeft w:val="0"/>
      <w:marRight w:val="0"/>
      <w:marTop w:val="0"/>
      <w:marBottom w:val="0"/>
      <w:divBdr>
        <w:top w:val="none" w:sz="0" w:space="0" w:color="auto"/>
        <w:left w:val="none" w:sz="0" w:space="0" w:color="auto"/>
        <w:bottom w:val="none" w:sz="0" w:space="0" w:color="auto"/>
        <w:right w:val="none" w:sz="0" w:space="0" w:color="auto"/>
      </w:divBdr>
    </w:div>
    <w:div w:id="2079595899">
      <w:bodyDiv w:val="1"/>
      <w:marLeft w:val="0"/>
      <w:marRight w:val="0"/>
      <w:marTop w:val="0"/>
      <w:marBottom w:val="0"/>
      <w:divBdr>
        <w:top w:val="none" w:sz="0" w:space="0" w:color="auto"/>
        <w:left w:val="none" w:sz="0" w:space="0" w:color="auto"/>
        <w:bottom w:val="none" w:sz="0" w:space="0" w:color="auto"/>
        <w:right w:val="none" w:sz="0" w:space="0" w:color="auto"/>
      </w:divBdr>
    </w:div>
    <w:div w:id="2085642691">
      <w:bodyDiv w:val="1"/>
      <w:marLeft w:val="0"/>
      <w:marRight w:val="0"/>
      <w:marTop w:val="0"/>
      <w:marBottom w:val="0"/>
      <w:divBdr>
        <w:top w:val="none" w:sz="0" w:space="0" w:color="auto"/>
        <w:left w:val="none" w:sz="0" w:space="0" w:color="auto"/>
        <w:bottom w:val="none" w:sz="0" w:space="0" w:color="auto"/>
        <w:right w:val="none" w:sz="0" w:space="0" w:color="auto"/>
      </w:divBdr>
    </w:div>
    <w:div w:id="2088113339">
      <w:bodyDiv w:val="1"/>
      <w:marLeft w:val="0"/>
      <w:marRight w:val="0"/>
      <w:marTop w:val="0"/>
      <w:marBottom w:val="0"/>
      <w:divBdr>
        <w:top w:val="none" w:sz="0" w:space="0" w:color="auto"/>
        <w:left w:val="none" w:sz="0" w:space="0" w:color="auto"/>
        <w:bottom w:val="none" w:sz="0" w:space="0" w:color="auto"/>
        <w:right w:val="none" w:sz="0" w:space="0" w:color="auto"/>
      </w:divBdr>
    </w:div>
    <w:div w:id="2088726598">
      <w:bodyDiv w:val="1"/>
      <w:marLeft w:val="0"/>
      <w:marRight w:val="0"/>
      <w:marTop w:val="0"/>
      <w:marBottom w:val="0"/>
      <w:divBdr>
        <w:top w:val="none" w:sz="0" w:space="0" w:color="auto"/>
        <w:left w:val="none" w:sz="0" w:space="0" w:color="auto"/>
        <w:bottom w:val="none" w:sz="0" w:space="0" w:color="auto"/>
        <w:right w:val="none" w:sz="0" w:space="0" w:color="auto"/>
      </w:divBdr>
    </w:div>
    <w:div w:id="2091268036">
      <w:bodyDiv w:val="1"/>
      <w:marLeft w:val="0"/>
      <w:marRight w:val="0"/>
      <w:marTop w:val="0"/>
      <w:marBottom w:val="0"/>
      <w:divBdr>
        <w:top w:val="none" w:sz="0" w:space="0" w:color="auto"/>
        <w:left w:val="none" w:sz="0" w:space="0" w:color="auto"/>
        <w:bottom w:val="none" w:sz="0" w:space="0" w:color="auto"/>
        <w:right w:val="none" w:sz="0" w:space="0" w:color="auto"/>
      </w:divBdr>
    </w:div>
    <w:div w:id="2092844409">
      <w:bodyDiv w:val="1"/>
      <w:marLeft w:val="0"/>
      <w:marRight w:val="0"/>
      <w:marTop w:val="0"/>
      <w:marBottom w:val="0"/>
      <w:divBdr>
        <w:top w:val="none" w:sz="0" w:space="0" w:color="auto"/>
        <w:left w:val="none" w:sz="0" w:space="0" w:color="auto"/>
        <w:bottom w:val="none" w:sz="0" w:space="0" w:color="auto"/>
        <w:right w:val="none" w:sz="0" w:space="0" w:color="auto"/>
      </w:divBdr>
    </w:div>
    <w:div w:id="2113159537">
      <w:bodyDiv w:val="1"/>
      <w:marLeft w:val="0"/>
      <w:marRight w:val="0"/>
      <w:marTop w:val="0"/>
      <w:marBottom w:val="0"/>
      <w:divBdr>
        <w:top w:val="none" w:sz="0" w:space="0" w:color="auto"/>
        <w:left w:val="none" w:sz="0" w:space="0" w:color="auto"/>
        <w:bottom w:val="none" w:sz="0" w:space="0" w:color="auto"/>
        <w:right w:val="none" w:sz="0" w:space="0" w:color="auto"/>
      </w:divBdr>
    </w:div>
    <w:div w:id="2113551893">
      <w:bodyDiv w:val="1"/>
      <w:marLeft w:val="0"/>
      <w:marRight w:val="0"/>
      <w:marTop w:val="0"/>
      <w:marBottom w:val="0"/>
      <w:divBdr>
        <w:top w:val="none" w:sz="0" w:space="0" w:color="auto"/>
        <w:left w:val="none" w:sz="0" w:space="0" w:color="auto"/>
        <w:bottom w:val="none" w:sz="0" w:space="0" w:color="auto"/>
        <w:right w:val="none" w:sz="0" w:space="0" w:color="auto"/>
      </w:divBdr>
    </w:div>
    <w:div w:id="2118020686">
      <w:bodyDiv w:val="1"/>
      <w:marLeft w:val="0"/>
      <w:marRight w:val="0"/>
      <w:marTop w:val="0"/>
      <w:marBottom w:val="0"/>
      <w:divBdr>
        <w:top w:val="none" w:sz="0" w:space="0" w:color="auto"/>
        <w:left w:val="none" w:sz="0" w:space="0" w:color="auto"/>
        <w:bottom w:val="none" w:sz="0" w:space="0" w:color="auto"/>
        <w:right w:val="none" w:sz="0" w:space="0" w:color="auto"/>
      </w:divBdr>
    </w:div>
    <w:div w:id="2134205288">
      <w:bodyDiv w:val="1"/>
      <w:marLeft w:val="0"/>
      <w:marRight w:val="0"/>
      <w:marTop w:val="0"/>
      <w:marBottom w:val="0"/>
      <w:divBdr>
        <w:top w:val="none" w:sz="0" w:space="0" w:color="auto"/>
        <w:left w:val="none" w:sz="0" w:space="0" w:color="auto"/>
        <w:bottom w:val="none" w:sz="0" w:space="0" w:color="auto"/>
        <w:right w:val="none" w:sz="0" w:space="0" w:color="auto"/>
      </w:divBdr>
    </w:div>
    <w:div w:id="2136168162">
      <w:bodyDiv w:val="1"/>
      <w:marLeft w:val="0"/>
      <w:marRight w:val="0"/>
      <w:marTop w:val="0"/>
      <w:marBottom w:val="0"/>
      <w:divBdr>
        <w:top w:val="none" w:sz="0" w:space="0" w:color="auto"/>
        <w:left w:val="none" w:sz="0" w:space="0" w:color="auto"/>
        <w:bottom w:val="none" w:sz="0" w:space="0" w:color="auto"/>
        <w:right w:val="none" w:sz="0" w:space="0" w:color="auto"/>
      </w:divBdr>
    </w:div>
    <w:div w:id="21467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785A2-DDC0-4F52-8398-1A2D7954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22314</Words>
  <Characters>127190</Characters>
  <Application>Microsoft Office Word</Application>
  <DocSecurity>0</DocSecurity>
  <Lines>1059</Lines>
  <Paragraphs>298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149206</CharactersWithSpaces>
  <SharedDoc>false</SharedDoc>
  <HLinks>
    <vt:vector size="6" baseType="variant">
      <vt:variant>
        <vt:i4>7274563</vt:i4>
      </vt:variant>
      <vt:variant>
        <vt:i4>3</vt:i4>
      </vt:variant>
      <vt:variant>
        <vt:i4>0</vt:i4>
      </vt:variant>
      <vt:variant>
        <vt:i4>5</vt:i4>
      </vt:variant>
      <vt:variant>
        <vt:lpwstr>mailto:info@biogradnamoru.hr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biograd2</cp:lastModifiedBy>
  <cp:revision>4</cp:revision>
  <cp:lastPrinted>2023-06-23T06:28:00Z</cp:lastPrinted>
  <dcterms:created xsi:type="dcterms:W3CDTF">2023-06-23T06:27:00Z</dcterms:created>
  <dcterms:modified xsi:type="dcterms:W3CDTF">2023-06-23T06:28:00Z</dcterms:modified>
</cp:coreProperties>
</file>