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BC" w:rsidRDefault="004552BC" w:rsidP="00D92742">
      <w:pPr>
        <w:rPr>
          <w:rFonts w:ascii="Calibri Light" w:hAnsi="Calibri Light"/>
          <w:b/>
        </w:rPr>
      </w:pPr>
    </w:p>
    <w:p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:rsidR="005328C3" w:rsidRPr="005328C3" w:rsidRDefault="004B3B78" w:rsidP="005328C3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4B3B78">
              <w:rPr>
                <w:rFonts w:asciiTheme="majorHAnsi" w:hAnsiTheme="majorHAnsi" w:cstheme="majorHAnsi"/>
                <w:b/>
              </w:rPr>
              <w:t>Proračuna Grada Biograda na Moru za 2026. godinu</w:t>
            </w:r>
          </w:p>
        </w:tc>
      </w:tr>
      <w:tr w:rsidR="005328C3" w:rsidRPr="0086248B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:rsidR="005328C3" w:rsidRPr="00C1045E" w:rsidRDefault="00322CCE" w:rsidP="00A97D16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30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A97D16">
              <w:rPr>
                <w:rFonts w:ascii="Calibri Light" w:eastAsia="Calibri Light" w:hAnsi="Calibri Light"/>
                <w:b/>
                <w:lang w:eastAsia="hr-HR"/>
              </w:rPr>
              <w:t>listopada</w:t>
            </w:r>
            <w:r w:rsidR="00A97D16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25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:rsidR="005328C3" w:rsidRPr="00C1045E" w:rsidRDefault="00A97D16" w:rsidP="00A97D16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29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studenog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25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B78" w:rsidRPr="004B3B78" w:rsidRDefault="004B3B78" w:rsidP="004B3B7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I. </w:t>
            </w:r>
            <w:r w:rsidRPr="004B3B78">
              <w:rPr>
                <w:rFonts w:asciiTheme="majorHAnsi" w:hAnsiTheme="majorHAnsi" w:cstheme="majorHAnsi"/>
                <w:b/>
              </w:rPr>
              <w:t>OPĆENITO</w:t>
            </w:r>
          </w:p>
          <w:p w:rsidR="004B3B78" w:rsidRPr="004B3B78" w:rsidRDefault="004B3B78" w:rsidP="004B3B78">
            <w:pPr>
              <w:spacing w:after="0" w:line="240" w:lineRule="auto"/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Prijedlog proračuna Grada Biograda na Moru za 2026. godinu, izrađen je na temelju Upute za izradu proračuna jedinica lokalne i područne (regionalne) samouprave za razdoblje 2026. - 2028. godine.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  <w:p w:rsidR="004B3B78" w:rsidRPr="004B3B78" w:rsidRDefault="004B3B78" w:rsidP="004B3B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Projekcije proračuna u razdoblju od 2026. do 2028. godine i dalje su rađene s deficitom   (višak rashoda nad prihodima). 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Sve usporedbe planiranog proračuna za 2026. godinu i projekcije za 2027. i 2028. godinu, rade se u odnosu na Proračun Grada Biograda na Moru za 2025</w:t>
            </w:r>
            <w:r>
              <w:rPr>
                <w:rFonts w:asciiTheme="majorHAnsi" w:hAnsiTheme="majorHAnsi" w:cstheme="majorHAnsi"/>
              </w:rPr>
              <w:t>. godinu.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Osnovna obilježja Proračuna za 2026</w:t>
            </w:r>
            <w:r>
              <w:rPr>
                <w:rFonts w:asciiTheme="majorHAnsi" w:hAnsiTheme="majorHAnsi" w:cstheme="majorHAnsi"/>
              </w:rPr>
              <w:t>. godinu su: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povećanje prihoda i rashoda te smanjenje izdataka u odnosu na planirane iznose za 2025. godinu,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financiranje izdataka i rashoda, uglavnom iz izvornih prihoda te kapitalnih pomoći temeljem prijenosa EU sredstava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osigurava se razvojna komponenta proračuna (nastavak kazališta i glazbene dvorane, izgradnja autobusnog kolodvora, rekonstrukcija dječjeg vrtića – centar, dogradnja dječjeg vrtića – Kosa zapad, nastavak izgradnje kanalizacijskog sustava, nastavak uređenja ulica u gradu, proširenje i daljnje komunalno opremanje poduzetničkih zona, daljnje uređenje novog dijela gradskog groblja, sanacija odlagališta komunalnog otpada "</w:t>
            </w:r>
            <w:proofErr w:type="spellStart"/>
            <w:r w:rsidRPr="004B3B78">
              <w:rPr>
                <w:rFonts w:asciiTheme="majorHAnsi" w:hAnsiTheme="majorHAnsi" w:cstheme="majorHAnsi"/>
              </w:rPr>
              <w:t>Baštijunski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B78">
              <w:rPr>
                <w:rFonts w:asciiTheme="majorHAnsi" w:hAnsiTheme="majorHAnsi" w:cstheme="majorHAnsi"/>
              </w:rPr>
              <w:t>brig</w:t>
            </w:r>
            <w:proofErr w:type="spellEnd"/>
            <w:r w:rsidRPr="004B3B78">
              <w:rPr>
                <w:rFonts w:asciiTheme="majorHAnsi" w:hAnsiTheme="majorHAnsi" w:cstheme="majorHAnsi"/>
              </w:rPr>
              <w:t>", uređenje infrastrukture u industrijskoj zoni, uređenje trgova i parkova).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Ukupno planirani proračun za 2026. godinu iznosi 61.700.000,00 eura, a za 2025. godinu (Rebalans II) je iznosio 54.400.000,00 eura, </w:t>
            </w:r>
            <w:r w:rsidRPr="004B3B78">
              <w:rPr>
                <w:rFonts w:asciiTheme="majorHAnsi" w:hAnsiTheme="majorHAnsi" w:cstheme="majorHAnsi"/>
                <w:b/>
                <w:bCs/>
              </w:rPr>
              <w:t>što je povećanje za 13,42 %.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Najznačajniji izvori prihoda u 2026. godini su: kapitalne pomoći temeljem prijenosa EU sredstava, komunalni doprinos, prodaja građevinskog zemljišta i prihodi od poreza.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B3B78">
              <w:rPr>
                <w:rFonts w:asciiTheme="majorHAnsi" w:hAnsiTheme="majorHAnsi" w:cstheme="majorHAnsi"/>
              </w:rPr>
              <w:t>U osnovnoj strukturi rashoda i izdataka planiranih za 2026. godinu, u ukupnom iznosu od 61.700.000,00 eura, izdvajanja za ulaganja u izgradnju, odnosno nabavku nefinancijske imovine iznose 39.265.116,75 eura (</w:t>
            </w:r>
            <w:proofErr w:type="spellStart"/>
            <w:r w:rsidRPr="004B3B78">
              <w:rPr>
                <w:rFonts w:asciiTheme="majorHAnsi" w:hAnsiTheme="majorHAnsi" w:cstheme="majorHAnsi"/>
              </w:rPr>
              <w:t>kto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4), a za 2026. godinu 42.779.748,65 eura, </w:t>
            </w:r>
            <w:r w:rsidRPr="004B3B78">
              <w:rPr>
                <w:rFonts w:asciiTheme="majorHAnsi" w:hAnsiTheme="majorHAnsi" w:cstheme="majorHAnsi"/>
                <w:b/>
                <w:bCs/>
              </w:rPr>
              <w:t>što je povećanje za 8,95 %.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lastRenderedPageBreak/>
              <w:t>U 2026. godini se od većih investicija planira: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tbl>
            <w:tblPr>
              <w:tblW w:w="86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93"/>
              <w:gridCol w:w="2268"/>
            </w:tblGrid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  <w:shd w:val="clear" w:color="auto" w:fill="E7E6E6"/>
                </w:tcPr>
                <w:p w:rsidR="004B3B78" w:rsidRPr="004B3B78" w:rsidRDefault="004B3B78" w:rsidP="004B3B78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</w:rPr>
                  </w:pPr>
                  <w:bookmarkStart w:id="1" w:name="_Hlk90024519"/>
                  <w:r w:rsidRPr="004B3B78">
                    <w:rPr>
                      <w:rFonts w:asciiTheme="majorHAnsi" w:hAnsiTheme="majorHAnsi" w:cstheme="majorHAnsi"/>
                      <w:b/>
                      <w:bCs/>
                    </w:rPr>
                    <w:t>INVESTICIJE:</w:t>
                  </w:r>
                </w:p>
              </w:tc>
              <w:tc>
                <w:tcPr>
                  <w:tcW w:w="2268" w:type="dxa"/>
                  <w:shd w:val="clear" w:color="auto" w:fill="E7E6E6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4B3B78">
                    <w:rPr>
                      <w:rFonts w:asciiTheme="majorHAnsi" w:hAnsiTheme="majorHAnsi" w:cstheme="majorHAnsi"/>
                      <w:b/>
                      <w:bCs/>
                    </w:rPr>
                    <w:t>IZNOS: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  <w:shd w:val="clear" w:color="auto" w:fill="FFFFFF"/>
                </w:tcPr>
                <w:p w:rsidR="004B3B78" w:rsidRPr="004B3B78" w:rsidRDefault="004B3B78" w:rsidP="004B3B78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Građevinsko zemljište – za izgradnju Doma za starije i nemoćne</w:t>
                  </w:r>
                </w:p>
              </w:tc>
              <w:tc>
                <w:tcPr>
                  <w:tcW w:w="2268" w:type="dxa"/>
                  <w:shd w:val="clear" w:color="auto" w:fill="FFFFFF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3.800.000,00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Izgradnja tenis centra  "Kosa zapad"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400.000,00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Rekonstrukcija dječjeg vrtića – centar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42.500,00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Rekonstrukcija, nadogradnja i opremanje dječjeg vrtića – Kosa zapad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1.000.000,00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Interpretacijski centar pomorstva i ribarstva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1.527.230,00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Izgradnja autobusnog kolodvora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1.993.310,00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Rekonstrukcija i opremanje zgrade Kulturno-umjetničkog centra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7.219.447,90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Kulturni centar Granda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1.527.230,00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Interpretacijski centar "Blago potopljenog broda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Gnalić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 xml:space="preserve">"      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5.879.999,00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Društveni kutak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1.800.000,00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Rekonstrukcija Zadarske ulice             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Ceste, ulice i putevi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Ceste i prilazi za poduzetničke zone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Uređenje trga ispred zgrade gradske uprave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3.000.000,00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Izgradnja komunalne infrastrukture u industrijskoj zoni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Izgradnja elektrane na zgradi Gradske knjižnice  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345.300,00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Izgradnja elektrane na zgradi Poduzetničkog inkubatora        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345.300,00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Izgradnja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reciklažnog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 xml:space="preserve"> dvorišta za građevinski otpad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1.000.000,00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Izgradnja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reciklažnog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 xml:space="preserve"> dvorišta za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biootpad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1.000.000,00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Razvoj zelene infrastrukture u urbanim područjima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2.300.000,00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Projekt krajobraznog uređenja zelene površine Kosa zapad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320.000,00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Multifunkcionalno sportsko igralište (Subotica)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Spomen ambijent za žrtve Domovinskog rata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850.000,00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Izgradnja Doma za starije i nemoćne osobe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Dnevni boravak za djecu s posebnim potrebama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Veteranski centar Biograd na Moru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Sanacija lučice Bolnički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mul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Uređenje igrališta Dječjeg vrtića Ivana Brlić Mažuranić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110.000,00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Sanacija odlagališta "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Baštijunski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brig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>"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3.147.651,75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Proširenje gradskog groblja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500.000,00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Projekt "CITYMOVE" – Sustav naplate parkinga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Izrada i postavljanje kamenih klupa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Projekt sustava tehničke zaštite grada Biograda na Moru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250.000,00 eura</w:t>
                  </w:r>
                </w:p>
              </w:tc>
            </w:tr>
            <w:bookmarkEnd w:id="1"/>
          </w:tbl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Kada se tome pribroje i planirana ulaganja kroz kapitalne pomoći (potpore), tekuće i kapitalne donacije te ostale pomoći unutar općeg proračuna, tekuće i kapitalne donacija (konta skupine 363, 381, 382 i 386) u ukupnom iznosu od 6.400.250,00 eura, vidljivo je da će i proračun za 2026. godinu imati značajnu razvojnu komponentu. 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Športska zajednica grada 300.000,00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Crveni križ Biograd 35.000,00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Nadbiskupijski ordinarijat Zadar - održavanje i pomoć vjerskim zajednicama u iznosu od 100.000,00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Specijalna bolnica za ortopediju Biograd u iznosu 8.000,00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Specijalna bolnica za ortopediju Biograd – nabava uređaja za magnetsku rezonancu u iznosu 50.000,00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Specijalna bolnica za ortopediju Biograd – nabava </w:t>
            </w:r>
            <w:proofErr w:type="spellStart"/>
            <w:r w:rsidRPr="004B3B78">
              <w:rPr>
                <w:rFonts w:asciiTheme="majorHAnsi" w:hAnsiTheme="majorHAnsi" w:cstheme="majorHAnsi"/>
              </w:rPr>
              <w:t>barokomore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u iznosu 500.000,00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Kapitalne pomoći Komunalac d.o.o. Biograd – 1.500.000,00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lastRenderedPageBreak/>
              <w:t>Suf</w:t>
            </w:r>
            <w:r>
              <w:rPr>
                <w:rFonts w:asciiTheme="majorHAnsi" w:hAnsiTheme="majorHAnsi" w:cstheme="majorHAnsi"/>
              </w:rPr>
              <w:t>i</w:t>
            </w:r>
            <w:r w:rsidRPr="004B3B78">
              <w:rPr>
                <w:rFonts w:asciiTheme="majorHAnsi" w:hAnsiTheme="majorHAnsi" w:cstheme="majorHAnsi"/>
              </w:rPr>
              <w:t>nanciranje rekonstrukcije Osnovne škole Biograd – 2.500.000,00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Sufinanciranje rekonstrukcije Srednje škole Biograd – 60.000,00 eura.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Naknade građanima i kućanstvima su planirane u iznosu od 1.092.600,00 eura, podijeljeno na stipendije i školarine u iznosu od 350.000,00 eura, jednokratna novčana pomoć maturantima s područja grada Biograda na Moru u iznosu od 20.000,00 eura, ostalih naknada za socijalnu skrb u iznosu od 13.300,00 eura, pomoć za opremu za novorođenčad u iznosu od 140.000,00 eura, jednokratna novčana pomoć obiteljima s 5 djece i više u iznosu od 80.000,00 eura, troškovi prijevoza za osobe sa invaliditetom u iznosu od 8.000,00 eura, pomoć za nabavku nastavnih sredstava u iznosu 100.000,00 eura, sufinanciranje troškova stanovanja 20.000,00 eura, </w:t>
            </w:r>
            <w:proofErr w:type="spellStart"/>
            <w:r w:rsidRPr="004B3B78">
              <w:rPr>
                <w:rFonts w:asciiTheme="majorHAnsi" w:hAnsiTheme="majorHAnsi" w:cstheme="majorHAnsi"/>
              </w:rPr>
              <w:t>Uskrsnice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u iznosu od 90.000,00 eura, </w:t>
            </w:r>
            <w:r w:rsidRPr="004B3B78">
              <w:rPr>
                <w:rFonts w:asciiTheme="majorHAnsi" w:hAnsiTheme="majorHAnsi" w:cstheme="majorHAnsi"/>
                <w:bCs/>
              </w:rPr>
              <w:t>Božićnica</w:t>
            </w:r>
            <w:r w:rsidRPr="004B3B78">
              <w:rPr>
                <w:rFonts w:asciiTheme="majorHAnsi" w:hAnsiTheme="majorHAnsi" w:cstheme="majorHAnsi"/>
              </w:rPr>
              <w:t xml:space="preserve"> za umirovljenike i socijalno ugrožene građane u iznosu od 90.000,00 eura, sufinanciranje troškova najamnine na području Grada Biograda na Moru iznosu od 50.000,00 eura, sufinanciranje troškova medicinski potpomognute oplodnje u iznosu od 50.000,00 eura te sufinanciranje dopunskog zdravstvenog osiguranja osobama starije životne dobi u iznosu od 80.000,00 eura.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Ovaj prijedlog proračuna sastoji se od projekcije proračuna, odnosno svih njegovih prihoda i primitaka, sve iskazano u općem i posebnom dijelu proračuna prema organizacijskoj, programskoj, funkcijskoj, ekonomskoj i lokacijskoj klasifikaciji, razdjelima, glavama, odnosno korisnicima što</w:t>
            </w:r>
            <w:r>
              <w:rPr>
                <w:rFonts w:asciiTheme="majorHAnsi" w:hAnsiTheme="majorHAnsi" w:cstheme="majorHAnsi"/>
              </w:rPr>
              <w:t xml:space="preserve"> je u prilogu u pisanom obliku.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Predloženi proračun Grada Biograda na Moru za 2026. godinu, odnosno svi njegovi prihodi i primici, kao i rashodi i izdaci, podliježu promjenama (rebalansu) u tijeku proračunske 2026. godine, što će zavisiti od ostvarenja prihoda i primitaka, kao i izvršenja rashoda i izdataka.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II. </w:t>
            </w:r>
            <w:r w:rsidRPr="004B3B78">
              <w:rPr>
                <w:rFonts w:asciiTheme="majorHAnsi" w:hAnsiTheme="majorHAnsi" w:cstheme="majorHAnsi"/>
                <w:b/>
              </w:rPr>
              <w:t>PRIHODI  I  PRIMICI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Prihodi se sastoje od poreznih prihoda, potpora, prihoda od imovine, prihoda od prodaje roba i usluga, prihoda od prodaje nefinancijske imovine, te ostalih prihoda, koji su odvojeni od prihoda od</w:t>
            </w:r>
            <w:r>
              <w:rPr>
                <w:rFonts w:asciiTheme="majorHAnsi" w:hAnsiTheme="majorHAnsi" w:cstheme="majorHAnsi"/>
              </w:rPr>
              <w:t xml:space="preserve"> prodaje nefinancijske imovine.</w:t>
            </w:r>
          </w:p>
          <w:p w:rsidR="004B3B78" w:rsidRPr="004B3B78" w:rsidRDefault="004B3B78" w:rsidP="004B3B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Ukupni prihodi i primici planiraju se za 2026. godinu u iznosu od </w:t>
            </w:r>
            <w:r w:rsidRPr="004B3B78">
              <w:rPr>
                <w:rFonts w:asciiTheme="majorHAnsi" w:hAnsiTheme="majorHAnsi" w:cstheme="majorHAnsi"/>
                <w:b/>
                <w:bCs/>
              </w:rPr>
              <w:t>61.700.000,00 eura</w:t>
            </w:r>
            <w:r w:rsidRPr="004B3B78">
              <w:rPr>
                <w:rFonts w:asciiTheme="majorHAnsi" w:hAnsiTheme="majorHAnsi" w:cstheme="majorHAnsi"/>
              </w:rPr>
              <w:t>.</w:t>
            </w:r>
            <w:r w:rsidRPr="004B3B78">
              <w:rPr>
                <w:rFonts w:asciiTheme="majorHAnsi" w:hAnsiTheme="majorHAnsi" w:cstheme="majorHAnsi"/>
                <w:b/>
              </w:rPr>
              <w:t xml:space="preserve"> </w:t>
            </w:r>
            <w:r w:rsidRPr="004B3B78">
              <w:rPr>
                <w:rFonts w:asciiTheme="majorHAnsi" w:hAnsiTheme="majorHAnsi" w:cstheme="majorHAnsi"/>
              </w:rPr>
              <w:t>U  2025. godini su prihodi i primici bili planirani u iznosu od 54.400.000,00 eura od kojih je 715.452,00 eura bilo namijenjeno pokriću viška rashoda nad prihodima iz prethodnih godina (uključeni manjkovi i viškovi proračunskih korisnika), tako da je za rashode i izdatke u 2025. godini ostalo 53.684.548,00 eura.</w:t>
            </w:r>
          </w:p>
          <w:p w:rsidR="004B3B78" w:rsidRPr="004B3B78" w:rsidRDefault="004B3B78" w:rsidP="004B3B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Manjak prihoda nad rashodima prenesenim iz prethodnih godina, u proračunu za 2026. godinu planira se pokriti u iznosu od 762.054,00 eura od čega 711.554,00 eura odnosi na Grad Biograd na Moru, a iznos od 50.500,00 eura na Dječji vrtić Ivana Brlić Mažuranić.</w:t>
            </w:r>
          </w:p>
          <w:p w:rsidR="004B3B78" w:rsidRPr="004B3B78" w:rsidRDefault="004B3B78" w:rsidP="004B3B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Manjak prihoda nad rashodima iz prethodnih godina po zadnjem financijskom izvještaju za razdoblje od 01.01. - 30.09.2025. godine iznosi 2.859.677,26 te je vjerojatno da se obzirom na veličinu neće uspjeti u cijelosti pokriti. Iz tog razloga se planira pokriće manjka u višegodišnjem razdoblju.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Ukupno planirani prihodi poslovanja (</w:t>
            </w:r>
            <w:proofErr w:type="spellStart"/>
            <w:r w:rsidRPr="004B3B78">
              <w:rPr>
                <w:rFonts w:asciiTheme="majorHAnsi" w:hAnsiTheme="majorHAnsi" w:cstheme="majorHAnsi"/>
              </w:rPr>
              <w:t>kto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6) u 2026. godini iznose 27.357.787,35 eura, a za proteklu godinu 21.588.66,25 eura, što je povećanje za 26,72%. U strukturi prihoda (</w:t>
            </w:r>
            <w:proofErr w:type="spellStart"/>
            <w:r w:rsidRPr="004B3B78">
              <w:rPr>
                <w:rFonts w:asciiTheme="majorHAnsi" w:hAnsiTheme="majorHAnsi" w:cstheme="majorHAnsi"/>
              </w:rPr>
              <w:t>kto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6), najveći prihod planiran je s temelja pomoći iz inozemstva i od subjekata unutar općeg proračuna u iznosu od 8.523.723,00 eura što je u odnosu na 2025. godinu povećanje za 47,26% 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Prihodi s temelja komunalnog doprinosa i komunalne naknade, kao izvora iz kojih se financira izgradnja i održavanje komunalne infrastrukture, planirani su u iznosu od 6.158.455,00 eura (komunalni doprinos 4.071.385,00 eura, a komunalna naknada 1.160.000,00 eura). Planirani prihodi od komunalnog doprinosa, proizlaze iz planiranih privatnih investicija u 2026. godini (investicije u poduzetničkim zonama, stambena izgradnja, </w:t>
            </w:r>
            <w:r>
              <w:rPr>
                <w:rFonts w:asciiTheme="majorHAnsi" w:hAnsiTheme="majorHAnsi" w:cstheme="majorHAnsi"/>
              </w:rPr>
              <w:t>i dr.).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Pojedinačno (po pozicijama), značajni dio prihoda u 2026. godini, planira se ostvariti od prodaje materijalne imovine - zemljišta, u iznosu od 13.397.914,32 eura. Navedena sredstva uglavnom će se ostvariti prodajom zemljišta u poduzetničkim zonama (Industrijska zona, Komunalno-servisna zona "</w:t>
            </w:r>
            <w:proofErr w:type="spellStart"/>
            <w:r w:rsidRPr="004B3B78">
              <w:rPr>
                <w:rFonts w:asciiTheme="majorHAnsi" w:hAnsiTheme="majorHAnsi" w:cstheme="majorHAnsi"/>
              </w:rPr>
              <w:t>Bučina</w:t>
            </w:r>
            <w:proofErr w:type="spellEnd"/>
            <w:r w:rsidRPr="004B3B78">
              <w:rPr>
                <w:rFonts w:asciiTheme="majorHAnsi" w:hAnsiTheme="majorHAnsi" w:cstheme="majorHAnsi"/>
              </w:rPr>
              <w:t>", te zona K-2 pretežito trgovačke namjene).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4B3B78">
              <w:rPr>
                <w:rFonts w:asciiTheme="majorHAnsi" w:hAnsiTheme="majorHAnsi" w:cstheme="majorHAnsi"/>
              </w:rPr>
              <w:lastRenderedPageBreak/>
              <w:t>I u 2026. godini značajan prihod planiran je s temelja pomoći iz državnog proračuna i pomoći temeljem prijenosa EU sredstava u iznosu od 7.011.690,00 eura (633 i 638). Navedena sredstva iz državnog proračuna, odnosno sredstva strukturnih fondova EU, namjenska su i osiguravaju sufinanciranje slijedećih projekata:</w:t>
            </w:r>
            <w:r w:rsidRPr="004B3B78">
              <w:rPr>
                <w:rFonts w:asciiTheme="majorHAnsi" w:hAnsiTheme="majorHAnsi" w:cstheme="majorHAnsi"/>
              </w:rPr>
              <w:tab/>
              <w:t xml:space="preserve"> </w:t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Interpretacijski centar pomorstva i ribarstva – rekonstrukcija zgrade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Kulturni centar Granda</w:t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Društveni kutak</w:t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Izgradnja elektrane na zgradi Gradske knjižnice</w:t>
            </w:r>
            <w:r w:rsidRPr="004B3B78">
              <w:rPr>
                <w:rFonts w:asciiTheme="majorHAnsi" w:hAnsiTheme="majorHAnsi" w:cstheme="majorHAnsi"/>
              </w:rPr>
              <w:tab/>
            </w:r>
            <w:r w:rsidRPr="004B3B78">
              <w:rPr>
                <w:rFonts w:asciiTheme="majorHAnsi" w:hAnsiTheme="majorHAnsi" w:cstheme="majorHAnsi"/>
              </w:rPr>
              <w:tab/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Izgradnja elektrane na zgradi Poduzetničkog inkubatora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Razvoj zelene infrastrukture u urbanim područjima.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Svi ostali prihodi planirani su u usporedbi prema prihodima planiranima za 2025. godinu, te očekivanja u 2026. godini.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III. </w:t>
            </w:r>
            <w:r w:rsidRPr="004B3B78">
              <w:rPr>
                <w:rFonts w:asciiTheme="majorHAnsi" w:hAnsiTheme="majorHAnsi" w:cstheme="majorHAnsi"/>
                <w:b/>
              </w:rPr>
              <w:t>RASHODI I IZDACI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  <w:p w:rsidR="004B3B78" w:rsidRPr="004B3B78" w:rsidRDefault="004B3B78" w:rsidP="004B3B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Ukupni rashodi i izdaci planiraju se za 2025. godini u iznosu od </w:t>
            </w:r>
            <w:r w:rsidRPr="004B3B78">
              <w:rPr>
                <w:rFonts w:asciiTheme="majorHAnsi" w:hAnsiTheme="majorHAnsi" w:cstheme="majorHAnsi"/>
                <w:b/>
              </w:rPr>
              <w:t xml:space="preserve">61.700.000,00 eura </w:t>
            </w:r>
            <w:r w:rsidRPr="004B3B78">
              <w:rPr>
                <w:rFonts w:asciiTheme="majorHAnsi" w:hAnsiTheme="majorHAnsi" w:cstheme="majorHAnsi"/>
              </w:rPr>
              <w:t xml:space="preserve">(2025. godine 54.400.000,00 eura). Unutar navedenih rashoda, planira se iznos od </w:t>
            </w:r>
            <w:r w:rsidRPr="004B3B78">
              <w:rPr>
                <w:rFonts w:asciiTheme="majorHAnsi" w:hAnsiTheme="majorHAnsi" w:cstheme="majorHAnsi"/>
                <w:b/>
              </w:rPr>
              <w:t>762.054,00 eura</w:t>
            </w:r>
            <w:r w:rsidRPr="004B3B78">
              <w:rPr>
                <w:rFonts w:asciiTheme="majorHAnsi" w:hAnsiTheme="majorHAnsi" w:cstheme="majorHAnsi"/>
              </w:rPr>
              <w:t xml:space="preserve"> namijenjen pokriću viška rashoda nad prihodima iz prethodnih godina.   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Planirani rashodi i izdaci za 2026. godinu iznose ukupno 61.700.000,00 eura što je za 5,19% manje od planiranog iznosa za 2025. godinu (54.400.000,00 eura). U navedeni iznos je uključeno planirano pokriće manjka prihoda nad rashodima iz prethodnih godina.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U strukturi rashoda i izdataka najznačajniji su rashodi za nabavku nefinancijske imovine (</w:t>
            </w:r>
            <w:proofErr w:type="spellStart"/>
            <w:r w:rsidRPr="004B3B78">
              <w:rPr>
                <w:rFonts w:asciiTheme="majorHAnsi" w:hAnsiTheme="majorHAnsi" w:cstheme="majorHAnsi"/>
              </w:rPr>
              <w:t>kto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4) u iznosu od 42.779.748,65 eura, te rashodi poslovanja (</w:t>
            </w:r>
            <w:proofErr w:type="spellStart"/>
            <w:r w:rsidRPr="004B3B78">
              <w:rPr>
                <w:rFonts w:asciiTheme="majorHAnsi" w:hAnsiTheme="majorHAnsi" w:cstheme="majorHAnsi"/>
              </w:rPr>
              <w:t>kto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3) u iznosu od 17.247.751,35 eura.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Rashodi za financiranje redovne djelatnosti gradskih ustanova su povećani u dijelu rashoda za zaposlene uslijed povećanja plaća te kod onih korisnika kod kojih dolazi do kapitalnih ulaganja, ili se iz istog razloga smanjuju.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Od kapitalnih ulaganja ističemo:</w:t>
            </w:r>
          </w:p>
          <w:tbl>
            <w:tblPr>
              <w:tblW w:w="86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93"/>
              <w:gridCol w:w="2268"/>
            </w:tblGrid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  <w:shd w:val="clear" w:color="auto" w:fill="E7E6E6"/>
                </w:tcPr>
                <w:p w:rsidR="004B3B78" w:rsidRPr="004B3B78" w:rsidRDefault="004B3B78" w:rsidP="004B3B78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4B3B78">
                    <w:rPr>
                      <w:rFonts w:asciiTheme="majorHAnsi" w:hAnsiTheme="majorHAnsi" w:cstheme="majorHAnsi"/>
                      <w:b/>
                      <w:bCs/>
                    </w:rPr>
                    <w:t>INVESTICIJE:</w:t>
                  </w:r>
                </w:p>
              </w:tc>
              <w:tc>
                <w:tcPr>
                  <w:tcW w:w="2268" w:type="dxa"/>
                  <w:shd w:val="clear" w:color="auto" w:fill="E7E6E6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4B3B78">
                    <w:rPr>
                      <w:rFonts w:asciiTheme="majorHAnsi" w:hAnsiTheme="majorHAnsi" w:cstheme="majorHAnsi"/>
                      <w:b/>
                      <w:bCs/>
                    </w:rPr>
                    <w:t>IZNOS: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  <w:shd w:val="clear" w:color="auto" w:fill="FFFFFF"/>
                </w:tcPr>
                <w:p w:rsidR="004B3B78" w:rsidRPr="004B3B78" w:rsidRDefault="004B3B78" w:rsidP="004B3B78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Građevinsko zemljište – za izgradnju Doma za starije i nemoćne</w:t>
                  </w:r>
                </w:p>
              </w:tc>
              <w:tc>
                <w:tcPr>
                  <w:tcW w:w="2268" w:type="dxa"/>
                  <w:shd w:val="clear" w:color="auto" w:fill="FFFFFF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3.800.000,00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Izgradnja tenis centra  "Kosa zapad"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400.000,00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Rekonstrukcija dječjeg vrtića – centar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42.500,00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Rekonstrukcija, nadogradnja i opremanje dječjeg vrtića – Kosa zapad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1.000.000,00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Interpretacijski centar pomorstva i ribarstva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1.527.230,00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Izgradnja autobusnog kolodvora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1.993.310,00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Rekonstrukcija i opremanje zgrade Kulturno-umjetničkog centra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7.219.447,90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Kulturni centar Granda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1.527.230,00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Interpretacijski centar "Blago potopljenog broda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Gnalić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 xml:space="preserve">"      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5.879.999,00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Društveni kutak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1.800.000,00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Rekonstrukcija Zadarske ulice             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Ceste, ulice i putevi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Ceste i prilazi za poduzetničke zone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Uređenje trga ispred zgrade gradske uprave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3.000.000,00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Izgradnja komunalne infrastrukture u industrijskoj zoni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Izgradnja elektrane na zgradi Gradske knjižnice  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345.300,00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Izgradnja elektrane na zgradi Poduzetničkog inkubatora        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345.300,00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Izgradnja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reciklažnog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 xml:space="preserve"> dvorišta za građevinski otpad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1.000.000,00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Izgradnja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reciklažnog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 xml:space="preserve"> dvorišta za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biootpad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1.000.000,00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Razvoj zelene infrastrukture u urbanim područjima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2.300.000,00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lastRenderedPageBreak/>
                    <w:t>Projekt krajobraznog uređenja zelene površine Kosa zapad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320.000,00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Multifunkcionalno sportsko igralište (Subotica)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Spomen ambijent za žrtve Domovinskog rata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850.000,00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Izgradnja Doma za starije i nemoćne osobe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250.000,00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Dnevni boravak za djecu s posebnim potrebama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Veteranski centar Biograd na Moru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 xml:space="preserve">Sanacija lučice Bolnički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mul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Uređenje igrališta Dječjeg vrtića Ivana Brlić Mažuranić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110.000,00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Sanacija odlagališta "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Baštijunski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4B3B78">
                    <w:rPr>
                      <w:rFonts w:asciiTheme="majorHAnsi" w:hAnsiTheme="majorHAnsi" w:cstheme="majorHAnsi"/>
                    </w:rPr>
                    <w:t>brig</w:t>
                  </w:r>
                  <w:proofErr w:type="spellEnd"/>
                  <w:r w:rsidRPr="004B3B78">
                    <w:rPr>
                      <w:rFonts w:asciiTheme="majorHAnsi" w:hAnsiTheme="majorHAnsi" w:cstheme="majorHAnsi"/>
                    </w:rPr>
                    <w:t>"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3.147.651,75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Proširenje gradskog groblja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500.000,00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Projekt "CITYMOVE" – Sustav naplate parkinga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Izrada i postavljanje kamenih klupa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300.000,00 eura</w:t>
                  </w:r>
                </w:p>
              </w:tc>
            </w:tr>
            <w:tr w:rsidR="004B3B78" w:rsidRPr="004B3B78" w:rsidTr="004B3B78">
              <w:trPr>
                <w:jc w:val="center"/>
              </w:trPr>
              <w:tc>
                <w:tcPr>
                  <w:tcW w:w="6393" w:type="dxa"/>
                </w:tcPr>
                <w:p w:rsidR="004B3B78" w:rsidRPr="004B3B78" w:rsidRDefault="004B3B78" w:rsidP="004B3B78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Projekt sustava tehničke zaštite grada Biograda na Moru</w:t>
                  </w:r>
                </w:p>
              </w:tc>
              <w:tc>
                <w:tcPr>
                  <w:tcW w:w="2268" w:type="dxa"/>
                  <w:vAlign w:val="bottom"/>
                </w:tcPr>
                <w:p w:rsidR="004B3B78" w:rsidRPr="004B3B78" w:rsidRDefault="004B3B78" w:rsidP="004B3B7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4B3B78">
                    <w:rPr>
                      <w:rFonts w:asciiTheme="majorHAnsi" w:hAnsiTheme="majorHAnsi" w:cstheme="majorHAnsi"/>
                    </w:rPr>
                    <w:t>250.000,00 eura</w:t>
                  </w:r>
                </w:p>
              </w:tc>
            </w:tr>
          </w:tbl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Realizaciji gore spomenutih projekata, treba dodati i projekte koji će se financirati kroz kapitalne donacije i pomoći (potpore) u iznosu od 5.026.500,00 eura: 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Domu zdravlja Zadarske županije u iznosu od 5.000,00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Kapitalna donacija Opća bolnica Zadar u iznosu od 4.000,00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Specijalnoj bolnici za ortopediju Biograd u iznosu 8.000,00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Specijalna bolnica za ortopediju Biograd – nabava uređaja za magnetsku rezonancu u iznosu 50.000,00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Specijalna bolnica za ortopediju Biograd – nabava </w:t>
            </w:r>
            <w:proofErr w:type="spellStart"/>
            <w:r w:rsidRPr="004B3B78">
              <w:rPr>
                <w:rFonts w:asciiTheme="majorHAnsi" w:hAnsiTheme="majorHAnsi" w:cstheme="majorHAnsi"/>
              </w:rPr>
              <w:t>barokomore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u iznosu 500.000,00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Nadbiskupijski ordinarijat Zadar-održavanje i pomoć vjerskim zajednicama u iznosu 100.000,00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Sufinanciranje rekonstrukcije Osnovne škole Biograd u iznosu od 2.500.000,00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Sufinanciranje rekonstrukcije Srednje škole Biograd u iznosu od 60.000,00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Sufinanciranje Osnovna škola Biograd-izborna nastava (talijanski jezik, predstave, glazbena škola, truba...) u iznosu od 26.000,00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Liburniji d.o.o. za uređenje kolodvora u Biogradu na Moru u iznosu 5.000,00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Sufinanciranje </w:t>
            </w:r>
            <w:proofErr w:type="spellStart"/>
            <w:r w:rsidRPr="004B3B78">
              <w:rPr>
                <w:rFonts w:asciiTheme="majorHAnsi" w:hAnsiTheme="majorHAnsi" w:cstheme="majorHAnsi"/>
              </w:rPr>
              <w:t>vodoistražnih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radova sa Gradom Benkovcem u iznosu od 100.000,00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Sufinanciranje rada Skloništa za životinje u iznosu od 13.700,00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Sufinanciranje rada Savjetovalište za mentalni zdravlje i prevenciju ovisnosti u iznosu od 12.000,00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Sufinanciranje izgradnje Logističko distributivnog centra u iznosu od 50.000,00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Sanacija gatova i rekonstrukcija obalnog zida u iznosu od 50.000,00 eura,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4B3B78">
              <w:rPr>
                <w:rFonts w:asciiTheme="majorHAnsi" w:hAnsiTheme="majorHAnsi" w:cstheme="majorHAnsi"/>
              </w:rPr>
              <w:t>Bošani</w:t>
            </w:r>
            <w:proofErr w:type="spellEnd"/>
            <w:r w:rsidRPr="004B3B78">
              <w:rPr>
                <w:rFonts w:asciiTheme="majorHAnsi" w:hAnsiTheme="majorHAnsi" w:cstheme="majorHAnsi"/>
              </w:rPr>
              <w:t xml:space="preserve"> d.o.o. (izgradnja javne rasvjete, te odvodnja otpadnih i oborinskih voda), u iznosu 5.000,00 eura),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Komunalcu d.o.o. (ulaganje u izgradnju kanalizacijske mreže), u iznosu od 1.500.000,00 eura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te druge manje pomoći.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Donacije udrugama građana (sportske, kulturne) planirane su u iznosu od 656.300,00 eura. Športske udruge financiraju se preko Športske zajednice grada, a udruge u kulturi financiraju se preko Zajednice amaterskih kulturno-umjetničkih udruga G</w:t>
            </w:r>
            <w:r>
              <w:rPr>
                <w:rFonts w:asciiTheme="majorHAnsi" w:hAnsiTheme="majorHAnsi" w:cstheme="majorHAnsi"/>
              </w:rPr>
              <w:t xml:space="preserve">rada Biograda na Moru. 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Predloženi rashodi i izdaci iskazani, prema proračunskim pozicijama, podliježu izmjenama i dopunama (rebalansu) u tijeku 2026. godine, što će zavisiti o ostvarenju prihoda i primitaka, kao i eventualno neo</w:t>
            </w:r>
            <w:r>
              <w:rPr>
                <w:rFonts w:asciiTheme="majorHAnsi" w:hAnsiTheme="majorHAnsi" w:cstheme="majorHAnsi"/>
              </w:rPr>
              <w:t>phodnim potrebama za rashodima.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IV. </w:t>
            </w:r>
            <w:r w:rsidRPr="004B3B78">
              <w:rPr>
                <w:rFonts w:asciiTheme="majorHAnsi" w:hAnsiTheme="majorHAnsi" w:cstheme="majorHAnsi"/>
                <w:b/>
              </w:rPr>
              <w:t>POKRIĆE MANJKA PRIHODA IZ PRETHODNIH GODINA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4B3B78">
              <w:rPr>
                <w:rFonts w:asciiTheme="majorHAnsi" w:hAnsiTheme="majorHAnsi" w:cstheme="majorHAnsi"/>
              </w:rPr>
              <w:t xml:space="preserve">U proračunu za 2026. godinu planiraju se sredstva za pokriće prenesenog manjka prihoda iz prethodnih godina (nepokriveni rashodi iz prethodnih godina), u iznosu </w:t>
            </w:r>
            <w:r w:rsidRPr="004B3B78">
              <w:rPr>
                <w:rFonts w:asciiTheme="majorHAnsi" w:hAnsiTheme="majorHAnsi" w:cstheme="majorHAnsi"/>
                <w:b/>
              </w:rPr>
              <w:t xml:space="preserve">762.054,00 eura </w:t>
            </w:r>
            <w:r w:rsidRPr="004B3B78">
              <w:rPr>
                <w:rFonts w:asciiTheme="majorHAnsi" w:hAnsiTheme="majorHAnsi" w:cstheme="majorHAnsi"/>
                <w:bCs/>
              </w:rPr>
              <w:t>(Grad Biograd na Moru u iznosu 711.554,00 eura te Dječji vrtić Ivana Brlić Mažuranić u iznosu od 50.500,00 eura).</w:t>
            </w:r>
          </w:p>
          <w:p w:rsidR="004B3B78" w:rsidRPr="004B3B78" w:rsidRDefault="004B3B78" w:rsidP="004B3B78">
            <w:pPr>
              <w:spacing w:after="0" w:line="240" w:lineRule="auto"/>
              <w:ind w:right="563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lastRenderedPageBreak/>
              <w:t>Manjak prihoda nad rashodima iz prethodnih godina u 2025. godini planiran je iznos od 715.452,00 eura, očekuje se da će koncem 2025. godine iznositi oko 2.000.000,00 eura te je vjerojatno da se obzirom na veličinu neće uspjeti u cijelosti pokriti. Č</w:t>
            </w:r>
            <w:r w:rsidRPr="004B3B78">
              <w:rPr>
                <w:rFonts w:asciiTheme="majorHAnsi" w:hAnsiTheme="majorHAnsi" w:cstheme="majorHAnsi"/>
                <w:lang w:eastAsia="hr-HR"/>
              </w:rPr>
              <w:t xml:space="preserve">lankom 37. Zakona o proračunu propisano je ako jedinice lokalne i područne (regionalne) samouprave i njihovi proračunski i izvanproračunski korisnici ne mogu preneseni manjak podmiriti do kraja proračunske godine, obvezni su izraditi višegodišnji plan uravnoteženja za razdoblje za koje se proračun, odnosno financijski plan donosi. </w:t>
            </w:r>
            <w:r w:rsidRPr="004B3B78">
              <w:rPr>
                <w:rFonts w:asciiTheme="majorHAnsi" w:hAnsiTheme="majorHAnsi" w:cstheme="majorHAnsi"/>
              </w:rPr>
              <w:t>Iz tog razloga se planira pokriće ma</w:t>
            </w:r>
            <w:r>
              <w:rPr>
                <w:rFonts w:asciiTheme="majorHAnsi" w:hAnsiTheme="majorHAnsi" w:cstheme="majorHAnsi"/>
              </w:rPr>
              <w:t>njka u višegodišnjem razdoblju.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V. </w:t>
            </w:r>
            <w:r w:rsidRPr="004B3B78">
              <w:rPr>
                <w:rFonts w:asciiTheme="majorHAnsi" w:hAnsiTheme="majorHAnsi" w:cstheme="majorHAnsi"/>
                <w:b/>
              </w:rPr>
              <w:t>PROJEKCIJA PRORAČUNA ZA RAZDOBLJE 2026. - 2028. GODINE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Projekcijom proračuna za 2027. i 2028. godinu projicirana je dinamika proračuna (prihoda), u </w:t>
            </w:r>
            <w:r>
              <w:rPr>
                <w:rFonts w:asciiTheme="majorHAnsi" w:hAnsiTheme="majorHAnsi" w:cstheme="majorHAnsi"/>
              </w:rPr>
              <w:t>odnosu na prethodnu godinu, za: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2026. godinu povećanje za 13,42%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 xml:space="preserve">2027. godinu smanjenje za 45,38% 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2028. godinu smanjenje za 17,15%.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 obzirom na predviđene mogućnosti, te ostvarenje prihoda, planirano je povećanje Proračuna Grada Biograda na Moru u 2026. godini za 5,19% u odnosu na 2025. godinu, dok su za projekciju za 2027. prim</w:t>
            </w:r>
            <w:r>
              <w:rPr>
                <w:rFonts w:asciiTheme="majorHAnsi" w:hAnsiTheme="majorHAnsi" w:cstheme="majorHAnsi"/>
              </w:rPr>
              <w:t>i</w:t>
            </w:r>
            <w:r w:rsidRPr="004B3B78">
              <w:rPr>
                <w:rFonts w:asciiTheme="majorHAnsi" w:hAnsiTheme="majorHAnsi" w:cstheme="majorHAnsi"/>
              </w:rPr>
              <w:t xml:space="preserve">jenjeni postoci smanjenja rashoda za 45,38% u odnosu na 2026. godinu i za 2028. godinu 17,15% u odnosu na 2027. godinu. 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S obzirom na prethodno izneseno, primjenom navedenih stopa porasta prihoda i primitaka te rashoda i izdataka, te korigiranim iznosima, ukupan iznos proračuna za 2027. i 2028. godinu iznositi će: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B3B78">
              <w:rPr>
                <w:rFonts w:asciiTheme="majorHAnsi" w:hAnsiTheme="majorHAnsi" w:cstheme="majorHAnsi"/>
                <w:b/>
              </w:rPr>
              <w:t xml:space="preserve">za 2027. godinu iznosi …………….…………………… </w:t>
            </w:r>
            <w:r w:rsidRPr="004B3B78">
              <w:rPr>
                <w:rFonts w:asciiTheme="majorHAnsi" w:hAnsiTheme="majorHAnsi" w:cstheme="majorHAnsi"/>
                <w:b/>
                <w:bCs/>
              </w:rPr>
              <w:t>33.700.000,00 eura</w:t>
            </w:r>
          </w:p>
          <w:p w:rsidR="004B3B78" w:rsidRPr="004B3B78" w:rsidRDefault="004B3B78" w:rsidP="00562D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  <w:b/>
              </w:rPr>
              <w:t>za 2028. godinu iznosi ……………….………………… 27.920.000,00 eura</w:t>
            </w:r>
          </w:p>
          <w:p w:rsidR="004B3B78" w:rsidRPr="004B3B78" w:rsidRDefault="004B3B78" w:rsidP="004B3B7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B3B78">
              <w:rPr>
                <w:rFonts w:asciiTheme="majorHAnsi" w:hAnsiTheme="majorHAnsi" w:cstheme="majorHAnsi"/>
              </w:rPr>
              <w:t>što je manje od proračuna za 2026. godinu koji iznosi 61.700.000,00 eura (sa sredstvima rezerviranim za pokriće manjka prihoda nad rashodima, pr</w:t>
            </w:r>
            <w:r>
              <w:rPr>
                <w:rFonts w:asciiTheme="majorHAnsi" w:hAnsiTheme="majorHAnsi" w:cstheme="majorHAnsi"/>
              </w:rPr>
              <w:t>enesenim iz prethodnih godina).</w:t>
            </w:r>
          </w:p>
          <w:p w:rsidR="004B3B78" w:rsidRPr="003623FF" w:rsidRDefault="004B3B78" w:rsidP="004B3B7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3B78">
              <w:rPr>
                <w:rFonts w:asciiTheme="majorHAnsi" w:hAnsiTheme="majorHAnsi" w:cstheme="majorHAnsi"/>
              </w:rPr>
              <w:t>U projekciji za 2027. i 2028. godinu, u odnosu na 2028. godinu planira se smanjiti manjak prihoda nad rashodima.</w:t>
            </w:r>
          </w:p>
          <w:p w:rsidR="004B3B78" w:rsidRDefault="004B3B78" w:rsidP="00427EA5">
            <w:pPr>
              <w:pStyle w:val="Bezproreda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427EA5" w:rsidRPr="00427EA5" w:rsidRDefault="004B3B78" w:rsidP="00427EA5">
            <w:pPr>
              <w:pStyle w:val="Bezproreda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VI</w:t>
            </w:r>
            <w:r w:rsidR="00427EA5" w:rsidRPr="00427EA5">
              <w:rPr>
                <w:rFonts w:asciiTheme="majorHAnsi" w:hAnsiTheme="majorHAnsi" w:cstheme="majorHAnsi"/>
                <w:b/>
                <w:sz w:val="22"/>
                <w:szCs w:val="22"/>
              </w:rPr>
              <w:t>. PRIJEDLOG ODLUKE</w:t>
            </w:r>
          </w:p>
          <w:p w:rsidR="004B3B78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Nacrt </w:t>
            </w:r>
            <w:r w:rsidR="004B3B78">
              <w:rPr>
                <w:rFonts w:asciiTheme="majorHAnsi" w:hAnsiTheme="majorHAnsi" w:cstheme="majorHAnsi"/>
                <w:sz w:val="22"/>
                <w:szCs w:val="22"/>
              </w:rPr>
              <w:t xml:space="preserve">Proračuna </w:t>
            </w:r>
            <w:r w:rsidR="004B3B78" w:rsidRPr="004B3B78">
              <w:rPr>
                <w:rFonts w:asciiTheme="majorHAnsi" w:hAnsiTheme="majorHAnsi" w:cstheme="majorHAnsi"/>
                <w:sz w:val="22"/>
                <w:szCs w:val="22"/>
              </w:rPr>
              <w:t>Grada Biograda na Moru za 2026. godinu</w:t>
            </w: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Moru. </w:t>
            </w:r>
          </w:p>
          <w:p w:rsidR="004B3B78" w:rsidRDefault="004B3B78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b/>
                <w:sz w:val="22"/>
                <w:szCs w:val="22"/>
              </w:rPr>
              <w:t>IV. SAVJETOVANJE SA ZAINTERESIRANOM JAVNOŠĆU</w:t>
            </w:r>
          </w:p>
          <w:p w:rsidR="00427EA5" w:rsidRPr="00427EA5" w:rsidRDefault="004B3B78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Za donošenje navedenog</w:t>
            </w:r>
            <w:r w:rsidR="00427EA5" w:rsidRPr="00427E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B3B78">
              <w:rPr>
                <w:rFonts w:asciiTheme="majorHAnsi" w:hAnsiTheme="majorHAnsi" w:cstheme="majorHAnsi"/>
                <w:sz w:val="22"/>
                <w:szCs w:val="22"/>
              </w:rPr>
              <w:t>Proračun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4B3B78">
              <w:rPr>
                <w:rFonts w:asciiTheme="majorHAnsi" w:hAnsiTheme="majorHAnsi" w:cstheme="majorHAnsi"/>
                <w:sz w:val="22"/>
                <w:szCs w:val="22"/>
              </w:rPr>
              <w:t xml:space="preserve"> Grada Biograda na Moru za 2026. godinu</w:t>
            </w:r>
            <w:r w:rsidR="00427EA5" w:rsidRPr="00427EA5">
              <w:rPr>
                <w:rFonts w:asciiTheme="majorHAnsi" w:hAnsiTheme="majorHAnsi" w:cstheme="majorHAnsi"/>
                <w:sz w:val="22"/>
                <w:szCs w:val="22"/>
              </w:rPr>
              <w:t xml:space="preserve"> temeljem Plana savjetovanja sa javnošću Grada Biograda na Moru za 2025. godinu i njegovim izmjenama i dopunama planirano je provođenje savjetovanja sa javnošću sukladno odredbama Zakona o pravu na pristup informacijama ("Narodne novine"</w:t>
            </w:r>
            <w:r w:rsidR="00427E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27EA5" w:rsidRPr="00427EA5">
              <w:rPr>
                <w:rFonts w:asciiTheme="majorHAnsi" w:hAnsiTheme="majorHAnsi" w:cstheme="majorHAnsi"/>
                <w:sz w:val="22"/>
                <w:szCs w:val="22"/>
              </w:rPr>
              <w:t>broj 25/13., 85/15. i 69/22.) u t</w:t>
            </w:r>
            <w:r w:rsidR="00427EA5">
              <w:rPr>
                <w:rFonts w:asciiTheme="majorHAnsi" w:hAnsiTheme="majorHAnsi" w:cstheme="majorHAnsi"/>
                <w:sz w:val="22"/>
                <w:szCs w:val="22"/>
              </w:rPr>
              <w:t xml:space="preserve">rajanju od 30 (trideset) dana. </w:t>
            </w:r>
          </w:p>
          <w:p w:rsidR="00427EA5" w:rsidRDefault="00427EA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:rsidR="00427EA5" w:rsidRDefault="00427EA5" w:rsidP="00FD67ED">
      <w:pPr>
        <w:spacing w:after="0"/>
        <w:jc w:val="both"/>
        <w:rPr>
          <w:rFonts w:ascii="Calibri Light" w:hAnsi="Calibri Light"/>
        </w:rPr>
      </w:pPr>
    </w:p>
    <w:p w:rsidR="00427EA5" w:rsidRDefault="00427EA5" w:rsidP="00FD67ED">
      <w:pPr>
        <w:spacing w:after="0"/>
        <w:jc w:val="both"/>
        <w:rPr>
          <w:rFonts w:ascii="Calibri Light" w:hAnsi="Calibri Light"/>
        </w:rPr>
      </w:pPr>
    </w:p>
    <w:p w:rsidR="00427EA5" w:rsidRDefault="00427EA5" w:rsidP="00FD67ED">
      <w:pPr>
        <w:spacing w:after="0"/>
        <w:jc w:val="both"/>
        <w:rPr>
          <w:rFonts w:ascii="Calibri Light" w:hAnsi="Calibri Light"/>
        </w:rPr>
      </w:pPr>
    </w:p>
    <w:p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A97D16">
        <w:rPr>
          <w:rFonts w:ascii="Calibri Light" w:hAnsi="Calibri Light"/>
          <w:b/>
        </w:rPr>
        <w:t>29</w:t>
      </w:r>
      <w:r w:rsidR="001C07D8" w:rsidRPr="00C1045E">
        <w:rPr>
          <w:rFonts w:ascii="Calibri Light" w:hAnsi="Calibri Light"/>
          <w:b/>
        </w:rPr>
        <w:t xml:space="preserve">. </w:t>
      </w:r>
      <w:r w:rsidR="00A97D16">
        <w:rPr>
          <w:rFonts w:ascii="Calibri Light" w:eastAsia="Calibri Light" w:hAnsi="Calibri Light"/>
          <w:b/>
          <w:lang w:eastAsia="hr-HR"/>
        </w:rPr>
        <w:t>studenog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E36F60">
        <w:rPr>
          <w:rFonts w:ascii="Calibri Light" w:hAnsi="Calibri Light"/>
          <w:b/>
        </w:rPr>
        <w:t>5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4B3B78" w:rsidRPr="004B3B78">
        <w:rPr>
          <w:rFonts w:ascii="Calibri Light" w:hAnsi="Calibri Light"/>
          <w:b/>
          <w:szCs w:val="24"/>
        </w:rPr>
        <w:t xml:space="preserve">Proračuna Grada Biograda na Moru za 2026. godinu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4E" w:rsidRDefault="00562D4E">
      <w:pPr>
        <w:spacing w:after="0" w:line="240" w:lineRule="auto"/>
      </w:pPr>
      <w:r>
        <w:separator/>
      </w:r>
    </w:p>
  </w:endnote>
  <w:endnote w:type="continuationSeparator" w:id="0">
    <w:p w:rsidR="00562D4E" w:rsidRDefault="0056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4B3B78" w:rsidRPr="004B3B78">
      <w:rPr>
        <w:rFonts w:ascii="Calibri Light" w:hAnsi="Calibri Light"/>
        <w:i/>
        <w:color w:val="000000"/>
        <w:sz w:val="20"/>
        <w:szCs w:val="20"/>
      </w:rPr>
      <w:t>Proračuna Grada Biograda na Moru za 2026. godinu</w:t>
    </w:r>
    <w:r w:rsidR="003658E8">
      <w:rPr>
        <w:rFonts w:ascii="Calibri Light" w:hAnsi="Calibri Light"/>
        <w:i/>
        <w:sz w:val="20"/>
        <w:szCs w:val="20"/>
      </w:rPr>
      <w:t>.</w:t>
    </w:r>
  </w:p>
  <w:p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4E" w:rsidRDefault="00562D4E">
      <w:pPr>
        <w:spacing w:after="0" w:line="240" w:lineRule="auto"/>
      </w:pPr>
      <w:r>
        <w:separator/>
      </w:r>
    </w:p>
  </w:footnote>
  <w:footnote w:type="continuationSeparator" w:id="0">
    <w:p w:rsidR="00562D4E" w:rsidRDefault="0056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454"/>
    <w:multiLevelType w:val="hybridMultilevel"/>
    <w:tmpl w:val="3648F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573"/>
    <w:multiLevelType w:val="hybridMultilevel"/>
    <w:tmpl w:val="2E221BF4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ED4748"/>
    <w:multiLevelType w:val="hybridMultilevel"/>
    <w:tmpl w:val="B60A1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D6B51"/>
    <w:multiLevelType w:val="hybridMultilevel"/>
    <w:tmpl w:val="2636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977CD"/>
    <w:multiLevelType w:val="hybridMultilevel"/>
    <w:tmpl w:val="A552E6C0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B574C3"/>
    <w:multiLevelType w:val="hybridMultilevel"/>
    <w:tmpl w:val="5B9E4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13E46"/>
    <w:multiLevelType w:val="hybridMultilevel"/>
    <w:tmpl w:val="84DA10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60062"/>
    <w:multiLevelType w:val="hybridMultilevel"/>
    <w:tmpl w:val="BBA8C04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0390DFB"/>
    <w:multiLevelType w:val="hybridMultilevel"/>
    <w:tmpl w:val="142E9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2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F18EF"/>
    <w:rsid w:val="001F5296"/>
    <w:rsid w:val="001F7509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27EA5"/>
    <w:rsid w:val="004406DA"/>
    <w:rsid w:val="0045445B"/>
    <w:rsid w:val="004552BC"/>
    <w:rsid w:val="00470D9F"/>
    <w:rsid w:val="004920F5"/>
    <w:rsid w:val="004A7607"/>
    <w:rsid w:val="004B3B78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14DC7"/>
    <w:rsid w:val="005328C3"/>
    <w:rsid w:val="00542BCE"/>
    <w:rsid w:val="005610FB"/>
    <w:rsid w:val="00562D4E"/>
    <w:rsid w:val="005945EE"/>
    <w:rsid w:val="005C6FA0"/>
    <w:rsid w:val="005D5276"/>
    <w:rsid w:val="005D61B5"/>
    <w:rsid w:val="005E112D"/>
    <w:rsid w:val="005F217B"/>
    <w:rsid w:val="00615F47"/>
    <w:rsid w:val="00617042"/>
    <w:rsid w:val="00625DC7"/>
    <w:rsid w:val="00651B43"/>
    <w:rsid w:val="00672FA4"/>
    <w:rsid w:val="006758AE"/>
    <w:rsid w:val="006964CD"/>
    <w:rsid w:val="00696C6D"/>
    <w:rsid w:val="006A2C5F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53221"/>
    <w:rsid w:val="00B83376"/>
    <w:rsid w:val="00B84B02"/>
    <w:rsid w:val="00BA3CD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B1975"/>
    <w:rsid w:val="00CC0271"/>
    <w:rsid w:val="00CD492B"/>
    <w:rsid w:val="00CD605A"/>
    <w:rsid w:val="00CF6FF7"/>
    <w:rsid w:val="00D11CC8"/>
    <w:rsid w:val="00D158D4"/>
    <w:rsid w:val="00D256DB"/>
    <w:rsid w:val="00D55128"/>
    <w:rsid w:val="00D55DC4"/>
    <w:rsid w:val="00D61AB0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B7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B78"/>
    <w:rPr>
      <w:rFonts w:ascii="Tahoma" w:hAnsi="Tahoma"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019B-8195-4C69-B83E-EF313B06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2763</Words>
  <Characters>15750</Characters>
  <Application>Microsoft Office Word</Application>
  <DocSecurity>0</DocSecurity>
  <Lines>131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18477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biograd2</cp:lastModifiedBy>
  <cp:revision>25</cp:revision>
  <dcterms:created xsi:type="dcterms:W3CDTF">2024-04-25T12:22:00Z</dcterms:created>
  <dcterms:modified xsi:type="dcterms:W3CDTF">2025-10-30T13:58:00Z</dcterms:modified>
</cp:coreProperties>
</file>