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427EA5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427EA5">
              <w:rPr>
                <w:rFonts w:asciiTheme="majorHAnsi" w:hAnsiTheme="majorHAnsi" w:cstheme="majorHAnsi"/>
                <w:b/>
              </w:rPr>
              <w:t>Odluke o izvršavanju Proračuna Grada Biograda na Moru za 2026. godinu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322CCE" w:rsidP="00A97D16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30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A97D16">
              <w:rPr>
                <w:rFonts w:ascii="Calibri Light" w:eastAsia="Calibri Light" w:hAnsi="Calibri Light"/>
                <w:b/>
                <w:lang w:eastAsia="hr-HR"/>
              </w:rPr>
              <w:t>listopada</w:t>
            </w:r>
            <w:r w:rsidR="00A97D16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25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A97D16" w:rsidP="00A97D16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29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studenog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25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b/>
                <w:sz w:val="22"/>
                <w:szCs w:val="22"/>
              </w:rPr>
              <w:t>I. PRAVNA OSNOVA ZA DONOŠENJE ODLUKE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Člankom 18. Zakona o proračunu ("Narodne novine" br. 144/21.) propisana je obveza donošenja odluke o izvršavanju proračuna jedinica lokalne i područne (regionalne) samouprave, kojom se omogućava provedba usvojenog proračuna te u skladu sa zakonskim odredbama uređuju posebnosti koje proizlaze iz usvojenog proračuna.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 xml:space="preserve">Sukladno Zakonu o proračunu, Odlukom o izvršavanju Proračuna Grada Biograda na Moru za 2025. godinu (u daljnjem tekstu: Odluka) uređuje se struktura prihoda i primitaka te rashoda i izdataka Proračuna i njegovo izvršavanje, prava i obveze korisnika proračunskih sredstava, odgovornost za korištenje proračunskih sredstava sukladno namjenama i iznosima utvrđenim u Proračunu. 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Nadalje, Odlukom se propisuju ovlasti Gradonačelnika u izvršavanju Proračuna, upravljanje financijskom i nefinancijskom imovinom, kratkoročno i dugoročno zaduživanje Grada i davanje jamstva za zaduženje pravnim osobama i ustanovama kojima je Grad većinski vlasnik ili osnivač. Pored navedenog, Odlukom se utvrđuje obavljanje financijskog poslovanja te način izvještavanja o izvršenju Proračuna.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Temeljem navedenog, izrađen je prijedlog Odluke o izvršavanju proračuna Grada Bi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ograda na Moru za 2026. godinu.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b/>
                <w:sz w:val="22"/>
                <w:szCs w:val="22"/>
              </w:rPr>
              <w:t>II. PRIKAZ STANJA I PROMJENE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Odluka o izvršavanju proračuna normativni je akt koji uređuje određena pravila u tijeku izvršenja pro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računa Grada Biograda na Moru. 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b/>
                <w:sz w:val="22"/>
                <w:szCs w:val="22"/>
              </w:rPr>
              <w:t>III. PRIJEDLOG ODLUKE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Jedinstveni upravni odjel Grada Biograda na Moru izradio je Nacrt Odluke o izvršavanju Proračuna Grada Biograda na Moru za 2026. godinu, te ga je uputio Gradonačelniku Grada Biograda na Moru. Gradonačelnik je utvrdio Prijedlog Odluke o izvršavanju Proračuna Grada Biograda na Moru za 2026. godinu, te isti uputio Gradskom vi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jeću na raspravu i odlučivanje.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b/>
                <w:sz w:val="22"/>
                <w:szCs w:val="22"/>
              </w:rPr>
              <w:t>IV. SAVJETOVANJE SA ZAINTERESIRANOM JAVNOŠĆU</w:t>
            </w:r>
          </w:p>
          <w:p w:rsidR="00427EA5" w:rsidRPr="00427EA5" w:rsidRDefault="00427EA5" w:rsidP="00427EA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Za donošenje navedene Odluke temeljem Plana savjetovanja sa javnošću Grada Biograda na Moru za 2025. godinu i njegovim izmjenama i dopunama planirano je provođenje savjetovanja sa javnošću sukladno odredbama Zakona o pravu na pristup informacijama ("Narodne novine"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27EA5">
              <w:rPr>
                <w:rFonts w:asciiTheme="majorHAnsi" w:hAnsiTheme="majorHAnsi" w:cstheme="majorHAnsi"/>
                <w:sz w:val="22"/>
                <w:szCs w:val="22"/>
              </w:rPr>
              <w:t>broj 25/13., 85/15. i 69/22.) u 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rajanju od 30 (trideset) dana. </w:t>
            </w:r>
          </w:p>
          <w:p w:rsidR="00427EA5" w:rsidRDefault="00427EA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427EA5" w:rsidRDefault="00427EA5" w:rsidP="00FD67ED">
      <w:pPr>
        <w:spacing w:after="0"/>
        <w:jc w:val="both"/>
        <w:rPr>
          <w:rFonts w:ascii="Calibri Light" w:hAnsi="Calibri Light"/>
        </w:rPr>
      </w:pPr>
    </w:p>
    <w:p w:rsidR="00427EA5" w:rsidRDefault="00427EA5" w:rsidP="00FD67ED">
      <w:pPr>
        <w:spacing w:after="0"/>
        <w:jc w:val="both"/>
        <w:rPr>
          <w:rFonts w:ascii="Calibri Light" w:hAnsi="Calibri Light"/>
        </w:rPr>
      </w:pPr>
    </w:p>
    <w:p w:rsidR="00427EA5" w:rsidRDefault="00427EA5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A97D16">
        <w:rPr>
          <w:rFonts w:ascii="Calibri Light" w:hAnsi="Calibri Light"/>
          <w:b/>
        </w:rPr>
        <w:t>29</w:t>
      </w:r>
      <w:r w:rsidR="001C07D8" w:rsidRPr="00C1045E">
        <w:rPr>
          <w:rFonts w:ascii="Calibri Light" w:hAnsi="Calibri Light"/>
          <w:b/>
        </w:rPr>
        <w:t xml:space="preserve">. </w:t>
      </w:r>
      <w:r w:rsidR="00A97D16">
        <w:rPr>
          <w:rFonts w:ascii="Calibri Light" w:eastAsia="Calibri Light" w:hAnsi="Calibri Light"/>
          <w:b/>
          <w:lang w:eastAsia="hr-HR"/>
        </w:rPr>
        <w:t>studenog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E36F60">
        <w:rPr>
          <w:rFonts w:ascii="Calibri Light" w:hAnsi="Calibri Light"/>
          <w:b/>
        </w:rPr>
        <w:t>5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427EA5" w:rsidRPr="00427EA5">
        <w:rPr>
          <w:rFonts w:ascii="Calibri Light" w:hAnsi="Calibri Light"/>
          <w:b/>
          <w:szCs w:val="24"/>
        </w:rPr>
        <w:t>Odluke o izvršavanju Proračuna Grada Biograda na Moru za 2026. godinu</w:t>
      </w:r>
      <w:r w:rsidR="00427EA5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C5F" w:rsidRDefault="006A2C5F">
      <w:pPr>
        <w:spacing w:after="0" w:line="240" w:lineRule="auto"/>
      </w:pPr>
      <w:r>
        <w:separator/>
      </w:r>
    </w:p>
  </w:endnote>
  <w:endnote w:type="continuationSeparator" w:id="0">
    <w:p w:rsidR="006A2C5F" w:rsidRDefault="006A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427EA5" w:rsidRPr="00427EA5">
      <w:rPr>
        <w:rFonts w:ascii="Calibri Light" w:hAnsi="Calibri Light"/>
        <w:i/>
        <w:color w:val="000000"/>
        <w:sz w:val="20"/>
        <w:szCs w:val="20"/>
      </w:rPr>
      <w:t>Odluke o izvršavanju Proračuna Grada Biograda na Moru za 2026. godinu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C5F" w:rsidRDefault="006A2C5F">
      <w:pPr>
        <w:spacing w:after="0" w:line="240" w:lineRule="auto"/>
      </w:pPr>
      <w:r>
        <w:separator/>
      </w:r>
    </w:p>
  </w:footnote>
  <w:footnote w:type="continuationSeparator" w:id="0">
    <w:p w:rsidR="006A2C5F" w:rsidRDefault="006A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4B0"/>
    <w:multiLevelType w:val="hybridMultilevel"/>
    <w:tmpl w:val="F57AFD6A"/>
    <w:lvl w:ilvl="0" w:tplc="562C5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5252CB"/>
    <w:multiLevelType w:val="hybridMultilevel"/>
    <w:tmpl w:val="D58CD82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F476B"/>
    <w:multiLevelType w:val="hybridMultilevel"/>
    <w:tmpl w:val="5322A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942DC"/>
    <w:multiLevelType w:val="hybridMultilevel"/>
    <w:tmpl w:val="4A54E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152B7"/>
    <w:multiLevelType w:val="hybridMultilevel"/>
    <w:tmpl w:val="D8D04714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7357A"/>
    <w:multiLevelType w:val="hybridMultilevel"/>
    <w:tmpl w:val="75AE377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B5A83"/>
    <w:multiLevelType w:val="hybridMultilevel"/>
    <w:tmpl w:val="51CE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973A1"/>
    <w:multiLevelType w:val="hybridMultilevel"/>
    <w:tmpl w:val="59D4AB6C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039D7"/>
    <w:multiLevelType w:val="hybridMultilevel"/>
    <w:tmpl w:val="B2981B86"/>
    <w:lvl w:ilvl="0" w:tplc="0F408C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25FD1"/>
    <w:multiLevelType w:val="hybridMultilevel"/>
    <w:tmpl w:val="7A5A41E8"/>
    <w:lvl w:ilvl="0" w:tplc="727A524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A0E1602"/>
    <w:multiLevelType w:val="hybridMultilevel"/>
    <w:tmpl w:val="DD5CC64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E1D32"/>
    <w:multiLevelType w:val="hybridMultilevel"/>
    <w:tmpl w:val="66A43A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11277"/>
    <w:multiLevelType w:val="hybridMultilevel"/>
    <w:tmpl w:val="2084C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036A0"/>
    <w:multiLevelType w:val="hybridMultilevel"/>
    <w:tmpl w:val="9140B180"/>
    <w:lvl w:ilvl="0" w:tplc="596E4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6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32785"/>
    <w:multiLevelType w:val="hybridMultilevel"/>
    <w:tmpl w:val="D214CAFA"/>
    <w:lvl w:ilvl="0" w:tplc="81B0C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7"/>
  </w:num>
  <w:num w:numId="3">
    <w:abstractNumId w:val="45"/>
  </w:num>
  <w:num w:numId="4">
    <w:abstractNumId w:val="4"/>
  </w:num>
  <w:num w:numId="5">
    <w:abstractNumId w:val="34"/>
  </w:num>
  <w:num w:numId="6">
    <w:abstractNumId w:val="47"/>
  </w:num>
  <w:num w:numId="7">
    <w:abstractNumId w:val="24"/>
  </w:num>
  <w:num w:numId="8">
    <w:abstractNumId w:val="3"/>
  </w:num>
  <w:num w:numId="9">
    <w:abstractNumId w:val="9"/>
  </w:num>
  <w:num w:numId="10">
    <w:abstractNumId w:val="14"/>
  </w:num>
  <w:num w:numId="11">
    <w:abstractNumId w:val="31"/>
  </w:num>
  <w:num w:numId="12">
    <w:abstractNumId w:val="40"/>
  </w:num>
  <w:num w:numId="13">
    <w:abstractNumId w:val="13"/>
  </w:num>
  <w:num w:numId="14">
    <w:abstractNumId w:val="12"/>
  </w:num>
  <w:num w:numId="15">
    <w:abstractNumId w:val="16"/>
  </w:num>
  <w:num w:numId="16">
    <w:abstractNumId w:val="8"/>
  </w:num>
  <w:num w:numId="17">
    <w:abstractNumId w:val="7"/>
  </w:num>
  <w:num w:numId="18">
    <w:abstractNumId w:val="25"/>
  </w:num>
  <w:num w:numId="19">
    <w:abstractNumId w:val="22"/>
  </w:num>
  <w:num w:numId="20">
    <w:abstractNumId w:val="41"/>
  </w:num>
  <w:num w:numId="21">
    <w:abstractNumId w:val="11"/>
  </w:num>
  <w:num w:numId="22">
    <w:abstractNumId w:val="23"/>
  </w:num>
  <w:num w:numId="23">
    <w:abstractNumId w:val="42"/>
  </w:num>
  <w:num w:numId="24">
    <w:abstractNumId w:val="6"/>
  </w:num>
  <w:num w:numId="25">
    <w:abstractNumId w:val="2"/>
  </w:num>
  <w:num w:numId="26">
    <w:abstractNumId w:val="20"/>
  </w:num>
  <w:num w:numId="27">
    <w:abstractNumId w:val="46"/>
  </w:num>
  <w:num w:numId="28">
    <w:abstractNumId w:val="30"/>
  </w:num>
  <w:num w:numId="29">
    <w:abstractNumId w:val="38"/>
  </w:num>
  <w:num w:numId="30">
    <w:abstractNumId w:val="5"/>
  </w:num>
  <w:num w:numId="31">
    <w:abstractNumId w:val="17"/>
  </w:num>
  <w:num w:numId="32">
    <w:abstractNumId w:val="33"/>
  </w:num>
  <w:num w:numId="33">
    <w:abstractNumId w:val="39"/>
  </w:num>
  <w:num w:numId="34">
    <w:abstractNumId w:val="29"/>
  </w:num>
  <w:num w:numId="35">
    <w:abstractNumId w:val="48"/>
  </w:num>
  <w:num w:numId="36">
    <w:abstractNumId w:val="1"/>
  </w:num>
  <w:num w:numId="37">
    <w:abstractNumId w:val="0"/>
  </w:num>
  <w:num w:numId="38">
    <w:abstractNumId w:val="19"/>
  </w:num>
  <w:num w:numId="39">
    <w:abstractNumId w:val="36"/>
  </w:num>
  <w:num w:numId="40">
    <w:abstractNumId w:val="10"/>
  </w:num>
  <w:num w:numId="41">
    <w:abstractNumId w:val="35"/>
  </w:num>
  <w:num w:numId="42">
    <w:abstractNumId w:val="21"/>
  </w:num>
  <w:num w:numId="43">
    <w:abstractNumId w:val="15"/>
  </w:num>
  <w:num w:numId="44">
    <w:abstractNumId w:val="18"/>
  </w:num>
  <w:num w:numId="45">
    <w:abstractNumId w:val="26"/>
  </w:num>
  <w:num w:numId="46">
    <w:abstractNumId w:val="37"/>
  </w:num>
  <w:num w:numId="47">
    <w:abstractNumId w:val="32"/>
  </w:num>
  <w:num w:numId="48">
    <w:abstractNumId w:val="4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F18EF"/>
    <w:rsid w:val="001F5296"/>
    <w:rsid w:val="001F7509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27EA5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F217B"/>
    <w:rsid w:val="00615F47"/>
    <w:rsid w:val="00617042"/>
    <w:rsid w:val="00625DC7"/>
    <w:rsid w:val="00651B43"/>
    <w:rsid w:val="00672FA4"/>
    <w:rsid w:val="006758AE"/>
    <w:rsid w:val="006964CD"/>
    <w:rsid w:val="00696C6D"/>
    <w:rsid w:val="006A2C5F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53221"/>
    <w:rsid w:val="00B83376"/>
    <w:rsid w:val="00B84B02"/>
    <w:rsid w:val="00BA3CD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B1975"/>
    <w:rsid w:val="00CC0271"/>
    <w:rsid w:val="00CD492B"/>
    <w:rsid w:val="00CD605A"/>
    <w:rsid w:val="00CF6FF7"/>
    <w:rsid w:val="00D11CC8"/>
    <w:rsid w:val="00D158D4"/>
    <w:rsid w:val="00D256DB"/>
    <w:rsid w:val="00D55128"/>
    <w:rsid w:val="00D55DC4"/>
    <w:rsid w:val="00D61AB0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D3D3-5091-483A-AE17-83B43FE4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2990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24</cp:revision>
  <dcterms:created xsi:type="dcterms:W3CDTF">2024-04-25T12:22:00Z</dcterms:created>
  <dcterms:modified xsi:type="dcterms:W3CDTF">2025-10-30T13:45:00Z</dcterms:modified>
</cp:coreProperties>
</file>